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28A0" w14:textId="77777777" w:rsidR="0068596D" w:rsidRPr="00C7039D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Isatis Root (Ban Lan Gen, Radix Isatidis): Uses, Benefits, Doses, Safety, and TCM Perspective</w:t>
      </w:r>
    </w:p>
    <w:p w14:paraId="29D12220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7039D">
        <w:rPr>
          <w:rFonts w:ascii="Times New Roman" w:hAnsi="Times New Roman" w:cs="Times New Roman"/>
          <w:color w:val="000000" w:themeColor="text1"/>
        </w:rPr>
        <w:t>What is Isatis Root?</w:t>
      </w:r>
    </w:p>
    <w:p w14:paraId="5716DF3D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Isatis Root refers to the dried root of Isatis indigotica Fort. (syn. Baphicacanthus cusia for some materials), known in Traditional Chinese Medicine (TCM) as Ban Lan Gen. It is a classic cold, bitter herb that clears heat, resolves fire‑toxins, cools the blood, and benefits the throat. Clinically it is widely used across Asia for sore throat, pharyngitis/tonsillitis, influenza‑like illnesses, and as an adjunct in hepatitis care. [1][2]</w:t>
      </w:r>
    </w:p>
    <w:p w14:paraId="237F1382" w14:textId="77777777" w:rsidR="0068596D" w:rsidRPr="00C7039D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39D">
        <w:rPr>
          <w:rFonts w:ascii="Times New Roman" w:hAnsi="Times New Roman" w:cs="Times New Roman"/>
          <w:color w:val="000000" w:themeColor="text1"/>
          <w:sz w:val="28"/>
          <w:szCs w:val="28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C7039D" w:rsidRPr="00C7039D" w14:paraId="4211A2AF" w14:textId="77777777" w:rsidTr="00F12BAC">
        <w:tc>
          <w:tcPr>
            <w:tcW w:w="4320" w:type="dxa"/>
          </w:tcPr>
          <w:p w14:paraId="5D1C2EBA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Name:</w:t>
            </w:r>
          </w:p>
        </w:tc>
        <w:tc>
          <w:tcPr>
            <w:tcW w:w="4320" w:type="dxa"/>
          </w:tcPr>
          <w:p w14:paraId="1D3980DF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Isatis root; woad root</w:t>
            </w:r>
          </w:p>
        </w:tc>
      </w:tr>
      <w:tr w:rsidR="00C7039D" w:rsidRPr="00C7039D" w14:paraId="1A0F8766" w14:textId="77777777" w:rsidTr="00F12BAC">
        <w:tc>
          <w:tcPr>
            <w:tcW w:w="4320" w:type="dxa"/>
          </w:tcPr>
          <w:p w14:paraId="399AEBD7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Name:</w:t>
            </w:r>
          </w:p>
        </w:tc>
        <w:tc>
          <w:tcPr>
            <w:tcW w:w="4320" w:type="dxa"/>
          </w:tcPr>
          <w:p w14:paraId="07566FE6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Radix Isatidis (Ban Lan Gen)</w:t>
            </w:r>
          </w:p>
        </w:tc>
      </w:tr>
      <w:tr w:rsidR="00C7039D" w:rsidRPr="00C7039D" w14:paraId="4FCC1B1A" w14:textId="77777777" w:rsidTr="00F12BAC">
        <w:tc>
          <w:tcPr>
            <w:tcW w:w="4320" w:type="dxa"/>
          </w:tcPr>
          <w:p w14:paraId="60CA1A69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Names:</w:t>
            </w:r>
          </w:p>
        </w:tc>
        <w:tc>
          <w:tcPr>
            <w:tcW w:w="4320" w:type="dxa"/>
          </w:tcPr>
          <w:p w14:paraId="44641D7D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 Lan Gen; Isatis root; Woad root</w:t>
            </w:r>
          </w:p>
        </w:tc>
      </w:tr>
      <w:tr w:rsidR="00C7039D" w:rsidRPr="00C7039D" w14:paraId="4106AA56" w14:textId="77777777" w:rsidTr="00F12BAC">
        <w:tc>
          <w:tcPr>
            <w:tcW w:w="4320" w:type="dxa"/>
          </w:tcPr>
          <w:p w14:paraId="6438945A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(Entering Meridians):</w:t>
            </w:r>
          </w:p>
        </w:tc>
        <w:tc>
          <w:tcPr>
            <w:tcW w:w="4320" w:type="dxa"/>
          </w:tcPr>
          <w:p w14:paraId="69A02DB7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Clear heat &amp; resolve toxicity; cool the blood; benefit the throat (enters Heart, Lung, Stomach)</w:t>
            </w:r>
          </w:p>
        </w:tc>
      </w:tr>
      <w:tr w:rsidR="00C7039D" w:rsidRPr="00C7039D" w14:paraId="552E7602" w14:textId="77777777" w:rsidTr="00F12BAC">
        <w:tc>
          <w:tcPr>
            <w:tcW w:w="4320" w:type="dxa"/>
          </w:tcPr>
          <w:p w14:paraId="37C16B73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Nature:</w:t>
            </w:r>
          </w:p>
        </w:tc>
        <w:tc>
          <w:tcPr>
            <w:tcW w:w="4320" w:type="dxa"/>
          </w:tcPr>
          <w:p w14:paraId="1243FC30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Cold</w:t>
            </w:r>
          </w:p>
        </w:tc>
      </w:tr>
      <w:tr w:rsidR="00C7039D" w:rsidRPr="00C7039D" w14:paraId="316F8E09" w14:textId="77777777" w:rsidTr="00F12BAC">
        <w:tc>
          <w:tcPr>
            <w:tcW w:w="4320" w:type="dxa"/>
          </w:tcPr>
          <w:p w14:paraId="727209E2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Taste(s):</w:t>
            </w:r>
          </w:p>
        </w:tc>
        <w:tc>
          <w:tcPr>
            <w:tcW w:w="4320" w:type="dxa"/>
          </w:tcPr>
          <w:p w14:paraId="1BF2172B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Bitter</w:t>
            </w:r>
          </w:p>
        </w:tc>
      </w:tr>
      <w:tr w:rsidR="00C7039D" w:rsidRPr="00C7039D" w14:paraId="0F7B89CE" w14:textId="77777777" w:rsidTr="00F12BAC">
        <w:tc>
          <w:tcPr>
            <w:tcW w:w="4320" w:type="dxa"/>
          </w:tcPr>
          <w:p w14:paraId="1FA8B8B4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Affinity:</w:t>
            </w:r>
          </w:p>
        </w:tc>
        <w:tc>
          <w:tcPr>
            <w:tcW w:w="4320" w:type="dxa"/>
          </w:tcPr>
          <w:p w14:paraId="26C2852B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Heart, Lung, Stomach</w:t>
            </w:r>
          </w:p>
        </w:tc>
      </w:tr>
      <w:tr w:rsidR="00C7039D" w:rsidRPr="00C7039D" w14:paraId="7DDB776A" w14:textId="77777777" w:rsidTr="00F12BAC">
        <w:tc>
          <w:tcPr>
            <w:tcW w:w="4320" w:type="dxa"/>
          </w:tcPr>
          <w:p w14:paraId="11626CBF" w14:textId="77777777" w:rsidR="0068596D" w:rsidRPr="00C7039D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Name:</w:t>
            </w:r>
          </w:p>
        </w:tc>
        <w:tc>
          <w:tcPr>
            <w:tcW w:w="4320" w:type="dxa"/>
          </w:tcPr>
          <w:p w14:paraId="07F284C0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Isatis indigotica Fort. (root)</w:t>
            </w:r>
          </w:p>
        </w:tc>
      </w:tr>
    </w:tbl>
    <w:p w14:paraId="67810A27" w14:textId="77777777" w:rsidR="0068596D" w:rsidRPr="00C7039D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39D">
        <w:rPr>
          <w:rFonts w:ascii="Times New Roman" w:hAnsi="Times New Roman" w:cs="Times New Roman"/>
          <w:color w:val="000000" w:themeColor="text1"/>
          <w:sz w:val="28"/>
          <w:szCs w:val="28"/>
        </w:rPr>
        <w:t>Key constituents (why it is bioactive)</w:t>
      </w:r>
    </w:p>
    <w:p w14:paraId="5C6F628B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Indole/quinazolinone alkaloids (e.g., tryptanthrin), lignans (e.g., clemastanin B and related), phenylpropanoids and phenolic acids (e.g., sinapic, syringic), flavonoids, and polysaccharides. These map to antiviral and antibacterial signals, anti‑inflammatory actions (NF‑kB/COX‑2 down‑regulation), antioxidant effects, and hepatoprotective pathways; related species components (e.g., indirubin from indigo preparations) are pharmacologically active but distinct from the root. [3][4][5]</w:t>
      </w:r>
    </w:p>
    <w:p w14:paraId="3824494F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7039D">
        <w:rPr>
          <w:rFonts w:ascii="Times New Roman" w:hAnsi="Times New Roman" w:cs="Times New Roman"/>
          <w:color w:val="000000" w:themeColor="text1"/>
        </w:rPr>
        <w:t>Evidence-Supported Benefits (major "big blocks")</w:t>
      </w:r>
    </w:p>
    <w:p w14:paraId="631D3B3B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Acute sore throat, pharyngitis, and tonsillitis (core TCM/Asian use)</w:t>
      </w:r>
    </w:p>
    <w:p w14:paraId="737636F9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Ban Lan Gen clears heat and resolves throat fire‑toxins, reducing redness, swelling, and pain. Modern data describe antibacterial/antiviral activity and anti‑inflammatory modulation in the upper airway; most clinical use is formula‑ or product‑level (granules/lozenges). [1][2][3]</w:t>
      </w:r>
    </w:p>
    <w:p w14:paraId="1927E7EB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Common cold and influenza‑like illness (ILI) adjunct</w:t>
      </w:r>
    </w:p>
    <w:p w14:paraId="2AF8E6C8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Standardized Ban Lan Gen preparations are used widely during seasonal viral syndromes to shorten symptom duration and reduce severity signals; evidence ranges from historical use to modern observational and small controlled studies, often in combination formulas. [2][3]</w:t>
      </w:r>
    </w:p>
    <w:p w14:paraId="29BA5A47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Hepatitis support (widely used in Asia, adjunct)</w:t>
      </w:r>
    </w:p>
    <w:p w14:paraId="6D26248A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As an adjunct in viral hepatitis care, Isatis root–containing regimens have shown signals of improved liver enzymes and symptom relief in small trials and pragmatic studies. Mechanisms include antiviral activity, anti‑inflammatory/antioxidant effects, and hepatoprotective pathways. Use in coordination with standard hepatology care. [2][4][5]</w:t>
      </w:r>
    </w:p>
    <w:p w14:paraId="6B54BEA9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Epidemic febrile/toxic heat presentations</w:t>
      </w:r>
    </w:p>
    <w:p w14:paraId="2D235541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Traditionally applied to high‑fever, maculopapular eruptions, and toxin‑heat patterns; modern pharmacology supports broad anti‑inflammatory and immune‑modulating actions. [1][3]</w:t>
      </w:r>
    </w:p>
    <w:p w14:paraId="3F8A5BD4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Mumps and swellings of the throat/neck (pattern‑guided)</w:t>
      </w:r>
    </w:p>
    <w:p w14:paraId="39F1BD37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Used for painful swelling of the parotid or lymph nodes due to heat‑toxins; combine with other toxin‑resolving herbs per pattern. [1]</w:t>
      </w:r>
    </w:p>
    <w:p w14:paraId="09F4C1B9" w14:textId="77777777" w:rsidR="0068596D" w:rsidRPr="00C7039D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Antiviral/antibacterial &amp; immunomodulatory mechanisms (modern)</w:t>
      </w:r>
    </w:p>
    <w:p w14:paraId="0DB8886A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Root extracts and key compounds demonstrate in vitro activity against selected viruses and bacteria, modulation of cytokines, and enhancement of nonspecific immune responses; clinical translation depends on product, dose, and timing. [3][4]</w:t>
      </w:r>
    </w:p>
    <w:p w14:paraId="7B55F271" w14:textId="0CFB6873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Bottom line:</w:t>
      </w: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Isatis Root (Ban Lan Gen) is a cold, bitter heat‑clearing herb with strong throat affinity and broad detoxifying actions</w:t>
      </w:r>
      <w:r w:rsidR="00C70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frequently used across Asia for pharyngitis/tonsillitis, seasonal viral syndromes, and as an adjunct in hepatitis care. Modern pharmacology supports antiviral, anti‑inflammatory, and hepatoprotective signals. Use pattern‑guided and product‑standardized when possible. [1][2][4]</w:t>
      </w:r>
    </w:p>
    <w:p w14:paraId="2B42D223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7039D">
        <w:rPr>
          <w:rFonts w:ascii="Times New Roman" w:hAnsi="Times New Roman" w:cs="Times New Roman"/>
          <w:color w:val="000000" w:themeColor="text1"/>
        </w:rPr>
        <w:lastRenderedPageBreak/>
        <w:t>How it’s used (TCM &amp; practical)</w:t>
      </w:r>
    </w:p>
    <w:p w14:paraId="3D845092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Traditional functions: clears heat and resolves fire‑toxins, cools the blood, and benefits the throat. Representative selections: acute sore throat, red/swollen tonsils, feverish colds/ILI, maculopapular toxin‑heat eruptions, mumps, and adjunctive use in hepatitis. [1][2]</w:t>
      </w:r>
    </w:p>
    <w:p w14:paraId="1813D24C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Representative classical/modern uses (with notes):</w:t>
      </w:r>
    </w:p>
    <w:p w14:paraId="4B777E9B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Acute sore throat/tonsillitis: combine with Da Qing Ye (Isatis leaf) and Jin Yin Hua/Lian Qiao; consider lozenges or gargles with cooled decoction. [1]</w:t>
      </w:r>
    </w:p>
    <w:p w14:paraId="4240E7B6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Feverish common cold/ILI: pair with Lian Qiao and Bo He early; add supportive measures (rest, fluids). [2]</w:t>
      </w:r>
    </w:p>
    <w:p w14:paraId="4F05FE11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Hepatitis adjunct: use standardized extracts or root decoction within integrative plans; pair with Schisandra for hepatoprotection. Monitor liver enzymes. [4][5]</w:t>
      </w:r>
    </w:p>
    <w:p w14:paraId="3625E30B" w14:textId="5F59C2AD" w:rsidR="0068596D" w:rsidRPr="00C7039D" w:rsidRDefault="00000000" w:rsidP="00F12BAC">
      <w:pPr>
        <w:pStyle w:val="Heading1"/>
        <w:rPr>
          <w:rFonts w:ascii="Times New Roman" w:hAnsi="Times New Roman" w:cs="Times New Roman"/>
          <w:color w:val="000000" w:themeColor="text1"/>
          <w:lang w:eastAsia="zh-CN"/>
        </w:rPr>
      </w:pPr>
      <w:r w:rsidRPr="00C7039D">
        <w:rPr>
          <w:rFonts w:ascii="Times New Roman" w:hAnsi="Times New Roman" w:cs="Times New Roman"/>
          <w:color w:val="000000" w:themeColor="text1"/>
        </w:rPr>
        <w:t>Adult Doses (How &amp; When to Use)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832"/>
        <w:gridCol w:w="3162"/>
        <w:gridCol w:w="1434"/>
      </w:tblGrid>
      <w:tr w:rsidR="00C7039D" w:rsidRPr="00C7039D" w14:paraId="7BC87FCD" w14:textId="77777777" w:rsidTr="00F12BAC">
        <w:tc>
          <w:tcPr>
            <w:tcW w:w="2160" w:type="dxa"/>
          </w:tcPr>
          <w:p w14:paraId="6683F782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</w:t>
            </w:r>
          </w:p>
        </w:tc>
        <w:tc>
          <w:tcPr>
            <w:tcW w:w="2160" w:type="dxa"/>
          </w:tcPr>
          <w:p w14:paraId="6FBB203F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Typical adult range</w:t>
            </w:r>
          </w:p>
        </w:tc>
        <w:tc>
          <w:tcPr>
            <w:tcW w:w="2160" w:type="dxa"/>
          </w:tcPr>
          <w:p w14:paraId="78D111E9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Preparation / notes</w:t>
            </w:r>
          </w:p>
        </w:tc>
        <w:tc>
          <w:tcPr>
            <w:tcW w:w="2160" w:type="dxa"/>
          </w:tcPr>
          <w:p w14:paraId="07A90F9C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C7039D" w:rsidRPr="00C7039D" w14:paraId="03EF5E5B" w14:textId="77777777" w:rsidTr="00F12BAC">
        <w:tc>
          <w:tcPr>
            <w:tcW w:w="2160" w:type="dxa"/>
          </w:tcPr>
          <w:p w14:paraId="55DBDB26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(sliced root)</w:t>
            </w:r>
          </w:p>
        </w:tc>
        <w:tc>
          <w:tcPr>
            <w:tcW w:w="2160" w:type="dxa"/>
          </w:tcPr>
          <w:p w14:paraId="6E732E6C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9–15 g/day (up to 30 g short‑term for acute heat)</w:t>
            </w:r>
          </w:p>
        </w:tc>
        <w:tc>
          <w:tcPr>
            <w:tcW w:w="2160" w:type="dxa"/>
          </w:tcPr>
          <w:p w14:paraId="53C8DB78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Shorter decoction helps preserve actives; combine per pattern.</w:t>
            </w:r>
          </w:p>
        </w:tc>
        <w:tc>
          <w:tcPr>
            <w:tcW w:w="2160" w:type="dxa"/>
          </w:tcPr>
          <w:p w14:paraId="5B987C8F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[1][2]</w:t>
            </w:r>
          </w:p>
        </w:tc>
      </w:tr>
      <w:tr w:rsidR="00C7039D" w:rsidRPr="00C7039D" w14:paraId="6113B8D2" w14:textId="77777777" w:rsidTr="00F12BAC">
        <w:tc>
          <w:tcPr>
            <w:tcW w:w="2160" w:type="dxa"/>
          </w:tcPr>
          <w:p w14:paraId="11038BD3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Granules/powder (Ban Lan Gen Chong Ji)</w:t>
            </w:r>
          </w:p>
        </w:tc>
        <w:tc>
          <w:tcPr>
            <w:tcW w:w="2160" w:type="dxa"/>
          </w:tcPr>
          <w:p w14:paraId="5017CB0F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label to match decoction equivalence</w:t>
            </w:r>
          </w:p>
        </w:tc>
        <w:tc>
          <w:tcPr>
            <w:tcW w:w="2160" w:type="dxa"/>
          </w:tcPr>
          <w:p w14:paraId="3BD5DB23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 in Asian practice for throat/ILI presentations.</w:t>
            </w:r>
          </w:p>
        </w:tc>
        <w:tc>
          <w:tcPr>
            <w:tcW w:w="2160" w:type="dxa"/>
          </w:tcPr>
          <w:p w14:paraId="16449BA5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</w:t>
            </w:r>
          </w:p>
        </w:tc>
      </w:tr>
      <w:tr w:rsidR="00C7039D" w:rsidRPr="00C7039D" w14:paraId="638D6C8D" w14:textId="77777777" w:rsidTr="00F12BAC">
        <w:tc>
          <w:tcPr>
            <w:tcW w:w="2160" w:type="dxa"/>
          </w:tcPr>
          <w:p w14:paraId="4CA62CC0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Tablets/standardized extracts</w:t>
            </w:r>
          </w:p>
        </w:tc>
        <w:tc>
          <w:tcPr>
            <w:tcW w:w="2160" w:type="dxa"/>
          </w:tcPr>
          <w:p w14:paraId="1E0FA123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label (standardization varies)</w:t>
            </w:r>
          </w:p>
        </w:tc>
        <w:tc>
          <w:tcPr>
            <w:tcW w:w="2160" w:type="dxa"/>
          </w:tcPr>
          <w:p w14:paraId="58A577F5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 products with quantified alkaloid/lignan/polysaccharide content.</w:t>
            </w:r>
          </w:p>
        </w:tc>
        <w:tc>
          <w:tcPr>
            <w:tcW w:w="2160" w:type="dxa"/>
          </w:tcPr>
          <w:p w14:paraId="5EF7CD57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[3][4]</w:t>
            </w:r>
          </w:p>
        </w:tc>
      </w:tr>
      <w:tr w:rsidR="00C7039D" w:rsidRPr="00C7039D" w14:paraId="6C7C736D" w14:textId="77777777" w:rsidTr="00F12BAC">
        <w:tc>
          <w:tcPr>
            <w:tcW w:w="2160" w:type="dxa"/>
          </w:tcPr>
          <w:p w14:paraId="438A5748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Gargle/lozenge</w:t>
            </w:r>
          </w:p>
        </w:tc>
        <w:tc>
          <w:tcPr>
            <w:tcW w:w="2160" w:type="dxa"/>
          </w:tcPr>
          <w:p w14:paraId="2D433AE0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directed</w:t>
            </w:r>
          </w:p>
        </w:tc>
        <w:tc>
          <w:tcPr>
            <w:tcW w:w="2160" w:type="dxa"/>
          </w:tcPr>
          <w:p w14:paraId="0736756D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cooled decoction as gargle for throat comfort; lozenges for local effect.</w:t>
            </w:r>
          </w:p>
        </w:tc>
        <w:tc>
          <w:tcPr>
            <w:tcW w:w="2160" w:type="dxa"/>
          </w:tcPr>
          <w:p w14:paraId="4F43861A" w14:textId="77777777" w:rsidR="0068596D" w:rsidRPr="00C7039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</w:t>
            </w:r>
          </w:p>
        </w:tc>
      </w:tr>
    </w:tbl>
    <w:p w14:paraId="7D651095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7039D">
        <w:rPr>
          <w:rFonts w:ascii="Times New Roman" w:hAnsi="Times New Roman" w:cs="Times New Roman"/>
          <w:color w:val="000000" w:themeColor="text1"/>
        </w:rPr>
        <w:lastRenderedPageBreak/>
        <w:t>Safety, interactions &amp; who should avoid it</w:t>
      </w:r>
    </w:p>
    <w:p w14:paraId="293A2B3A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Generally well tolerated for short courses; cold/bitter nature can injure Spleen/Stomach—watch for diarrhea, abdominal chill, or poor appetite. [1][2]</w:t>
      </w:r>
    </w:p>
    <w:p w14:paraId="379916BB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Long‑term high‑dose use: avoid without clinician oversight, especially in qi/yang deficiency or cold patterns. [1]</w:t>
      </w:r>
    </w:p>
    <w:p w14:paraId="0709C26D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Drug considerations: theoretical interactions with antivirals/immunomodulators; monitor liver enzymes when used for hepatitis adjunct. [4][5]</w:t>
      </w:r>
    </w:p>
    <w:p w14:paraId="1C7495CF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Pregnancy/lactation: use with caution and professional supervision for medicinal dosing. [2]</w:t>
      </w:r>
    </w:p>
    <w:p w14:paraId="3FA3E13E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7039D">
        <w:rPr>
          <w:rFonts w:ascii="Times New Roman" w:hAnsi="Times New Roman" w:cs="Times New Roman"/>
          <w:color w:val="000000" w:themeColor="text1"/>
        </w:rPr>
        <w:t>Notes for clinical use (quick)</w:t>
      </w:r>
    </w:p>
    <w:p w14:paraId="0D04E676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For acute throat presentations, start promptly and combine with rest, hydration, and salt‑water gargles; reassess in 48–72 hours. [1]</w:t>
      </w:r>
    </w:p>
    <w:p w14:paraId="1009F5AB" w14:textId="01B9A6B1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For hepatitis adjunct use, pair with lifestyle measures (diet, alcohol avoidance) and coordinate with hepatology; track ALT/AST at baseline and 8</w:t>
      </w:r>
      <w:r w:rsidR="00C703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12 weeks. [4]</w:t>
      </w:r>
    </w:p>
    <w:p w14:paraId="69224875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• If loose stools or chill appear, reduce dose, shorten course, or add gentle qi harmonizers (e.g., Chen Pi). [2]</w:t>
      </w:r>
    </w:p>
    <w:p w14:paraId="63429834" w14:textId="77777777" w:rsidR="0068596D" w:rsidRPr="00C7039D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0CD5EBB8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[1] Standard TCM materia medica (Ban Lan Gen): clear heat, resolve toxins, cool blood, benefit the throat; dosing/indications (pharyngitis, tonsillitis, mumps).</w:t>
      </w:r>
    </w:p>
    <w:p w14:paraId="05C0A9BE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[2] English‑language TCM monographs/teaching notes and Asian clinical practice notes (granules/lozenges; widespread seasonal use).</w:t>
      </w:r>
    </w:p>
    <w:p w14:paraId="4B3CA4D5" w14:textId="027D1920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[3] Pharmacology reviews of Isatis root: tryptanthrin/alkaloids, </w:t>
      </w:r>
      <w:proofErr w:type="spellStart"/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clemastanin</w:t>
      </w:r>
      <w:proofErr w:type="spellEnd"/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lignans, polysaccharides antiviral, antibacterial, anti‑inflammatory mechanisms.</w:t>
      </w:r>
    </w:p>
    <w:p w14:paraId="708C4BCE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[4] Hepatoprotective and antioxidant studies (preclinical/small clinical) on Isatis‑containing preparations; enzyme modulation and symptom improvement.</w:t>
      </w:r>
    </w:p>
    <w:p w14:paraId="5145022A" w14:textId="77777777" w:rsidR="0068596D" w:rsidRPr="00C7039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9D">
        <w:rPr>
          <w:rFonts w:ascii="Times New Roman" w:hAnsi="Times New Roman" w:cs="Times New Roman"/>
          <w:color w:val="000000" w:themeColor="text1"/>
          <w:sz w:val="24"/>
          <w:szCs w:val="24"/>
        </w:rPr>
        <w:t>[5] Modern overviews on Ban Lan Gen safety/standardization and integrative use for hepatitis and upper‑airway infections.</w:t>
      </w:r>
    </w:p>
    <w:sectPr w:rsidR="0068596D" w:rsidRPr="00C703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48446">
    <w:abstractNumId w:val="8"/>
  </w:num>
  <w:num w:numId="2" w16cid:durableId="1744334584">
    <w:abstractNumId w:val="6"/>
  </w:num>
  <w:num w:numId="3" w16cid:durableId="477839154">
    <w:abstractNumId w:val="5"/>
  </w:num>
  <w:num w:numId="4" w16cid:durableId="819806556">
    <w:abstractNumId w:val="4"/>
  </w:num>
  <w:num w:numId="5" w16cid:durableId="2082168144">
    <w:abstractNumId w:val="7"/>
  </w:num>
  <w:num w:numId="6" w16cid:durableId="838886104">
    <w:abstractNumId w:val="3"/>
  </w:num>
  <w:num w:numId="7" w16cid:durableId="233593127">
    <w:abstractNumId w:val="2"/>
  </w:num>
  <w:num w:numId="8" w16cid:durableId="354188682">
    <w:abstractNumId w:val="1"/>
  </w:num>
  <w:num w:numId="9" w16cid:durableId="81619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596D"/>
    <w:rsid w:val="006E2DF3"/>
    <w:rsid w:val="009B3568"/>
    <w:rsid w:val="00AA1D8D"/>
    <w:rsid w:val="00B47730"/>
    <w:rsid w:val="00C7039D"/>
    <w:rsid w:val="00CB0664"/>
    <w:rsid w:val="00D03577"/>
    <w:rsid w:val="00F12B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B35CC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4</cp:revision>
  <dcterms:created xsi:type="dcterms:W3CDTF">2025-08-16T05:57:00Z</dcterms:created>
  <dcterms:modified xsi:type="dcterms:W3CDTF">2025-09-02T08:25:00Z</dcterms:modified>
  <cp:category/>
</cp:coreProperties>
</file>