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56963" w14:textId="68BC537C" w:rsidR="003860A0" w:rsidRPr="00FE1898" w:rsidRDefault="00000000">
      <w:pPr>
        <w:pStyle w:val="Title"/>
        <w:rPr>
          <w:rFonts w:ascii="Times New Roman" w:hAnsi="Times New Roman" w:cs="Times New Roman"/>
          <w:b/>
          <w:bCs/>
          <w:color w:val="000000" w:themeColor="text1"/>
          <w:sz w:val="36"/>
          <w:szCs w:val="36"/>
        </w:rPr>
      </w:pPr>
      <w:r w:rsidRPr="00FE1898">
        <w:rPr>
          <w:rFonts w:ascii="Times New Roman" w:hAnsi="Times New Roman" w:cs="Times New Roman"/>
          <w:b/>
          <w:bCs/>
          <w:color w:val="000000" w:themeColor="text1"/>
          <w:sz w:val="36"/>
          <w:szCs w:val="36"/>
        </w:rPr>
        <w:t>Eleuthero (Ci Wu Jia, Eleutherococcus senticosus): Uses, Benefits, Doses</w:t>
      </w:r>
      <w:r w:rsidR="00293C86" w:rsidRPr="00FE1898">
        <w:rPr>
          <w:rFonts w:ascii="Times New Roman" w:hAnsi="Times New Roman" w:cs="Times New Roman"/>
          <w:b/>
          <w:bCs/>
          <w:color w:val="000000" w:themeColor="text1"/>
          <w:sz w:val="36"/>
          <w:szCs w:val="36"/>
        </w:rPr>
        <w:t xml:space="preserve">, </w:t>
      </w:r>
      <w:proofErr w:type="spellStart"/>
      <w:r w:rsidR="00293C86" w:rsidRPr="00FE1898">
        <w:rPr>
          <w:rFonts w:ascii="Times New Roman" w:hAnsi="Times New Roman" w:cs="Times New Roman"/>
          <w:b/>
          <w:bCs/>
          <w:color w:val="000000" w:themeColor="text1"/>
          <w:sz w:val="36"/>
          <w:szCs w:val="36"/>
        </w:rPr>
        <w:t>Safty</w:t>
      </w:r>
      <w:proofErr w:type="spellEnd"/>
      <w:r w:rsidRPr="00FE1898">
        <w:rPr>
          <w:rFonts w:ascii="Times New Roman" w:hAnsi="Times New Roman" w:cs="Times New Roman"/>
          <w:b/>
          <w:bCs/>
          <w:color w:val="000000" w:themeColor="text1"/>
          <w:sz w:val="36"/>
          <w:szCs w:val="36"/>
        </w:rPr>
        <w:t xml:space="preserve"> &amp; TCM Perspective</w:t>
      </w:r>
    </w:p>
    <w:p w14:paraId="79E8D8B2" w14:textId="77777777" w:rsidR="003860A0" w:rsidRPr="00FE1898" w:rsidRDefault="00000000">
      <w:pPr>
        <w:pStyle w:val="Heading1"/>
        <w:rPr>
          <w:rFonts w:ascii="Times New Roman" w:hAnsi="Times New Roman" w:cs="Times New Roman"/>
          <w:color w:val="000000" w:themeColor="text1"/>
        </w:rPr>
      </w:pPr>
      <w:r w:rsidRPr="00FE1898">
        <w:rPr>
          <w:rFonts w:ascii="Times New Roman" w:hAnsi="Times New Roman" w:cs="Times New Roman"/>
          <w:color w:val="000000" w:themeColor="text1"/>
        </w:rPr>
        <w:t>What is Eleuthero?</w:t>
      </w:r>
    </w:p>
    <w:p w14:paraId="74CE2DC8"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xml:space="preserve">Eleuthero (Ci Wu Jia, </w:t>
      </w:r>
      <w:r w:rsidRPr="00FE1898">
        <w:rPr>
          <w:rFonts w:ascii="Times New Roman" w:hAnsi="Times New Roman" w:cs="Times New Roman"/>
          <w:color w:val="000000" w:themeColor="text1"/>
          <w:sz w:val="24"/>
          <w:szCs w:val="24"/>
        </w:rPr>
        <w:t>刺五加</w:t>
      </w:r>
      <w:r w:rsidRPr="00FE1898">
        <w:rPr>
          <w:rFonts w:ascii="Times New Roman" w:hAnsi="Times New Roman" w:cs="Times New Roman"/>
          <w:color w:val="000000" w:themeColor="text1"/>
          <w:sz w:val="24"/>
          <w:szCs w:val="24"/>
        </w:rPr>
        <w:t>) refers to the root and stem bark of Eleutherococcus senticosus (Rupr. &amp; Maxim.) Maxim., commonly called Siberian ginseng (not a Panax ginseng). In Traditional Chinese Medicine (TCM), it is used to tonify qi, strengthen the Spleen and Kidney, calm the spirit, and support recovery from fatigue and weakness. [1][2]</w:t>
      </w:r>
    </w:p>
    <w:p w14:paraId="24BF3AEF" w14:textId="77777777" w:rsidR="003860A0" w:rsidRPr="00FE1898" w:rsidRDefault="00000000">
      <w:pPr>
        <w:pStyle w:val="Heading2"/>
        <w:rPr>
          <w:rFonts w:ascii="Times New Roman" w:hAnsi="Times New Roman" w:cs="Times New Roman"/>
          <w:color w:val="000000" w:themeColor="text1"/>
          <w:sz w:val="28"/>
          <w:szCs w:val="28"/>
        </w:rPr>
      </w:pPr>
      <w:r w:rsidRPr="00FE1898">
        <w:rPr>
          <w:rFonts w:ascii="Times New Roman" w:hAnsi="Times New Roman" w:cs="Times New Roman"/>
          <w:color w:val="000000" w:themeColor="text1"/>
          <w:sz w:val="28"/>
          <w:szCs w:val="28"/>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FE1898" w:rsidRPr="00FE1898" w14:paraId="4B4040BE" w14:textId="77777777" w:rsidTr="00293C86">
        <w:tc>
          <w:tcPr>
            <w:tcW w:w="4320" w:type="dxa"/>
          </w:tcPr>
          <w:p w14:paraId="57449E3E"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English Name:</w:t>
            </w:r>
          </w:p>
        </w:tc>
        <w:tc>
          <w:tcPr>
            <w:tcW w:w="4320" w:type="dxa"/>
          </w:tcPr>
          <w:p w14:paraId="7E778BEF"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Eleuthero; Siberian ginseng; Ci Wu Jia</w:t>
            </w:r>
          </w:p>
        </w:tc>
      </w:tr>
      <w:tr w:rsidR="00FE1898" w:rsidRPr="00FE1898" w14:paraId="242FC444" w14:textId="77777777" w:rsidTr="00293C86">
        <w:tc>
          <w:tcPr>
            <w:tcW w:w="4320" w:type="dxa"/>
          </w:tcPr>
          <w:p w14:paraId="7B0088AB"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Latin Pharmaceutical Name:</w:t>
            </w:r>
          </w:p>
        </w:tc>
        <w:tc>
          <w:tcPr>
            <w:tcW w:w="4320" w:type="dxa"/>
          </w:tcPr>
          <w:p w14:paraId="5E880B8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Radix et Caulis Acanthopanacis Senticosi (Ci Wu Jia)</w:t>
            </w:r>
          </w:p>
        </w:tc>
      </w:tr>
      <w:tr w:rsidR="00FE1898" w:rsidRPr="00FE1898" w14:paraId="21A0AC54" w14:textId="77777777" w:rsidTr="00293C86">
        <w:tc>
          <w:tcPr>
            <w:tcW w:w="4320" w:type="dxa"/>
          </w:tcPr>
          <w:p w14:paraId="57892657"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Common Names:</w:t>
            </w:r>
          </w:p>
        </w:tc>
        <w:tc>
          <w:tcPr>
            <w:tcW w:w="4320" w:type="dxa"/>
          </w:tcPr>
          <w:p w14:paraId="4390B5F1"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Siberian ginseng; Ci Wu Jia</w:t>
            </w:r>
          </w:p>
        </w:tc>
      </w:tr>
      <w:tr w:rsidR="00FE1898" w:rsidRPr="00FE1898" w14:paraId="25CC84E9" w14:textId="77777777" w:rsidTr="00293C86">
        <w:tc>
          <w:tcPr>
            <w:tcW w:w="4320" w:type="dxa"/>
          </w:tcPr>
          <w:p w14:paraId="2BFFDAD3"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TCM Category (Entering Meridians):</w:t>
            </w:r>
          </w:p>
        </w:tc>
        <w:tc>
          <w:tcPr>
            <w:tcW w:w="4320" w:type="dxa"/>
          </w:tcPr>
          <w:p w14:paraId="117A8EFF"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Tonify Qi; also calms shen (enters Spleen, Kidney, Heart)</w:t>
            </w:r>
          </w:p>
        </w:tc>
      </w:tr>
      <w:tr w:rsidR="00FE1898" w:rsidRPr="00FE1898" w14:paraId="1E3D7125" w14:textId="77777777" w:rsidTr="00293C86">
        <w:tc>
          <w:tcPr>
            <w:tcW w:w="4320" w:type="dxa"/>
          </w:tcPr>
          <w:p w14:paraId="3213A1EE"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TCM Nature:</w:t>
            </w:r>
          </w:p>
        </w:tc>
        <w:tc>
          <w:tcPr>
            <w:tcW w:w="4320" w:type="dxa"/>
          </w:tcPr>
          <w:p w14:paraId="363805A6"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Warm to neutral</w:t>
            </w:r>
          </w:p>
        </w:tc>
      </w:tr>
      <w:tr w:rsidR="00FE1898" w:rsidRPr="00FE1898" w14:paraId="752424F6" w14:textId="77777777" w:rsidTr="00293C86">
        <w:tc>
          <w:tcPr>
            <w:tcW w:w="4320" w:type="dxa"/>
          </w:tcPr>
          <w:p w14:paraId="362A68FE"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TCM Taste(s):</w:t>
            </w:r>
          </w:p>
        </w:tc>
        <w:tc>
          <w:tcPr>
            <w:tcW w:w="4320" w:type="dxa"/>
          </w:tcPr>
          <w:p w14:paraId="140A95DE"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Slightly bitter, acrid, slightly sweet</w:t>
            </w:r>
          </w:p>
        </w:tc>
      </w:tr>
      <w:tr w:rsidR="00FE1898" w:rsidRPr="00FE1898" w14:paraId="11FC3944" w14:textId="77777777" w:rsidTr="00293C86">
        <w:tc>
          <w:tcPr>
            <w:tcW w:w="4320" w:type="dxa"/>
          </w:tcPr>
          <w:p w14:paraId="06AADDDE"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Organ Affinity:</w:t>
            </w:r>
          </w:p>
        </w:tc>
        <w:tc>
          <w:tcPr>
            <w:tcW w:w="4320" w:type="dxa"/>
          </w:tcPr>
          <w:p w14:paraId="640E41B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Spleen, Kidney, Heart</w:t>
            </w:r>
          </w:p>
        </w:tc>
      </w:tr>
      <w:tr w:rsidR="00FE1898" w:rsidRPr="00FE1898" w14:paraId="753214C6" w14:textId="77777777" w:rsidTr="00293C86">
        <w:tc>
          <w:tcPr>
            <w:tcW w:w="4320" w:type="dxa"/>
          </w:tcPr>
          <w:p w14:paraId="142D9E21" w14:textId="77777777" w:rsidR="003860A0" w:rsidRPr="00FE1898" w:rsidRDefault="00000000">
            <w:pPr>
              <w:rPr>
                <w:rFonts w:ascii="Times New Roman" w:hAnsi="Times New Roman" w:cs="Times New Roman"/>
                <w:b/>
                <w:bCs/>
                <w:color w:val="000000" w:themeColor="text1"/>
                <w:sz w:val="24"/>
                <w:szCs w:val="24"/>
              </w:rPr>
            </w:pPr>
            <w:r w:rsidRPr="00FE1898">
              <w:rPr>
                <w:rFonts w:ascii="Times New Roman" w:hAnsi="Times New Roman" w:cs="Times New Roman"/>
                <w:b/>
                <w:bCs/>
                <w:color w:val="000000" w:themeColor="text1"/>
                <w:sz w:val="24"/>
                <w:szCs w:val="24"/>
              </w:rPr>
              <w:t>Scientific Name:</w:t>
            </w:r>
          </w:p>
        </w:tc>
        <w:tc>
          <w:tcPr>
            <w:tcW w:w="4320" w:type="dxa"/>
          </w:tcPr>
          <w:p w14:paraId="351802D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Eleutherococcus senticosus (Rupr. &amp; Maxim.) Maxim.</w:t>
            </w:r>
          </w:p>
        </w:tc>
      </w:tr>
    </w:tbl>
    <w:p w14:paraId="1D53D6E2" w14:textId="77777777" w:rsidR="003860A0" w:rsidRPr="00FE1898" w:rsidRDefault="00000000">
      <w:pPr>
        <w:pStyle w:val="Heading2"/>
        <w:rPr>
          <w:rFonts w:ascii="Times New Roman" w:hAnsi="Times New Roman" w:cs="Times New Roman"/>
          <w:color w:val="000000" w:themeColor="text1"/>
          <w:sz w:val="28"/>
          <w:szCs w:val="28"/>
        </w:rPr>
      </w:pPr>
      <w:r w:rsidRPr="00FE1898">
        <w:rPr>
          <w:rFonts w:ascii="Times New Roman" w:hAnsi="Times New Roman" w:cs="Times New Roman"/>
          <w:color w:val="000000" w:themeColor="text1"/>
          <w:sz w:val="28"/>
          <w:szCs w:val="28"/>
        </w:rPr>
        <w:t>Key constituents (why it is bioactive)</w:t>
      </w:r>
    </w:p>
    <w:p w14:paraId="3467659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Characteristic constituents include eleutherosides (e.g., eleutheroside B [syringin], eleutheroside E [syringaresinol diglucoside]), phenylpropanoids and lignans, triterpenoid saponins, and polysaccharides. These are linked to adaptogenic/anti-fatigue, neuroimmune modulation, anti-inflammatory/antioxidant, and glycometabolic effects in preclinical and clinical contexts. [3][4][5]</w:t>
      </w:r>
    </w:p>
    <w:p w14:paraId="7DB1CC6A" w14:textId="77777777" w:rsidR="003860A0" w:rsidRPr="00FE1898" w:rsidRDefault="00000000">
      <w:pPr>
        <w:pStyle w:val="Heading1"/>
        <w:rPr>
          <w:rFonts w:ascii="Times New Roman" w:hAnsi="Times New Roman" w:cs="Times New Roman"/>
          <w:color w:val="000000" w:themeColor="text1"/>
        </w:rPr>
      </w:pPr>
      <w:r w:rsidRPr="00FE1898">
        <w:rPr>
          <w:rFonts w:ascii="Times New Roman" w:hAnsi="Times New Roman" w:cs="Times New Roman"/>
          <w:color w:val="000000" w:themeColor="text1"/>
        </w:rPr>
        <w:t>Evidence-Supported Benefits (major "big blocks")</w:t>
      </w:r>
    </w:p>
    <w:p w14:paraId="28FBE7EF" w14:textId="77777777" w:rsidR="003860A0" w:rsidRPr="00FE1898" w:rsidRDefault="00000000">
      <w:pPr>
        <w:pStyle w:val="ListNumbe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Fatigue and stress resilience (adaptogenic support)</w:t>
      </w:r>
    </w:p>
    <w:p w14:paraId="62FD852D"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lastRenderedPageBreak/>
        <w:t>Randomized and controlled studies in stressed workers and students report improvements in fatigue scales, mental performance under stress, and subjective well-being with Eleuthero extracts. Effects vary with dose/standardization; most data are short-term (weeks). Proposed mechanisms include HPA-axis modulation, anti-inflammatory signaling, and central neurotransmitter effects linked to eleutherosides. [3][4]</w:t>
      </w:r>
    </w:p>
    <w:p w14:paraId="32EB08E2"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Immune modulation (NK cell activity and immune indices)</w:t>
      </w:r>
    </w:p>
    <w:p w14:paraId="7DC09167"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Small clinical trials and observational studies have reported increased natural killer (NK) cell activity and favorable shifts in immune markers during Eleuthero use, particularly in individuals under stress or during intense training. Polysaccharides and eleutherosides likely contribute via innate immune pathways and cytokine balance. [4][6]</w:t>
      </w:r>
    </w:p>
    <w:p w14:paraId="5F970B4F"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Upper respiratory tract infection (URTI) frequency/duration (mixed clinical signals)</w:t>
      </w:r>
    </w:p>
    <w:p w14:paraId="4099CF4F" w14:textId="4620B728"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Some integrative cold/flu formulations containing Eleuthero have shown reductions in URTI incidence or duration; other trials are neutral</w:t>
      </w:r>
      <w:r w:rsidR="00293C86" w:rsidRPr="00FE1898">
        <w:rPr>
          <w:rFonts w:ascii="Times New Roman" w:hAnsi="Times New Roman" w:cs="Times New Roman"/>
          <w:color w:val="000000" w:themeColor="text1"/>
          <w:sz w:val="24"/>
          <w:szCs w:val="24"/>
        </w:rPr>
        <w:t xml:space="preserve"> </w:t>
      </w:r>
      <w:r w:rsidRPr="00FE1898">
        <w:rPr>
          <w:rFonts w:ascii="Times New Roman" w:hAnsi="Times New Roman" w:cs="Times New Roman"/>
          <w:color w:val="000000" w:themeColor="text1"/>
          <w:sz w:val="24"/>
          <w:szCs w:val="24"/>
        </w:rPr>
        <w:t>evidence is mixed and often formula-level rather than single-herb. Theoretical support comes from immune priming and antiviral signals in vitro. [6][7]</w:t>
      </w:r>
    </w:p>
    <w:p w14:paraId="67B2DBF8"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Cognitive performance and mood under stress</w:t>
      </w:r>
    </w:p>
    <w:p w14:paraId="53ADA3DE"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Trials in demanding settings (shift work, examination periods) note modest improvements in attention, accuracy, and subjective mood. Neuroprotective and neuromodulatory actions of lignans/phenylpropanoids are proposed; high-quality, longer trials are still needed. [3][5]</w:t>
      </w:r>
    </w:p>
    <w:p w14:paraId="47744F45"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Exercise performance and recovery (endurance/fatigue)</w:t>
      </w:r>
    </w:p>
    <w:p w14:paraId="5411D8D1" w14:textId="5A19022E"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Human studies show inconsistent effects on VO2max/time-to-exhaustion, but some report improved perceived exertion and recovery indices</w:t>
      </w:r>
      <w:r w:rsidR="006B64C2" w:rsidRPr="00FE1898">
        <w:rPr>
          <w:rFonts w:ascii="Times New Roman" w:hAnsi="Times New Roman" w:cs="Times New Roman"/>
          <w:color w:val="000000" w:themeColor="text1"/>
          <w:sz w:val="24"/>
          <w:szCs w:val="24"/>
        </w:rPr>
        <w:t xml:space="preserve"> </w:t>
      </w:r>
      <w:r w:rsidRPr="00FE1898">
        <w:rPr>
          <w:rFonts w:ascii="Times New Roman" w:hAnsi="Times New Roman" w:cs="Times New Roman"/>
          <w:color w:val="000000" w:themeColor="text1"/>
          <w:sz w:val="24"/>
          <w:szCs w:val="24"/>
        </w:rPr>
        <w:t xml:space="preserve">particularly with standardized extracts used for several weeks. Mechanisms point to </w:t>
      </w:r>
      <w:proofErr w:type="gramStart"/>
      <w:r w:rsidRPr="00FE1898">
        <w:rPr>
          <w:rFonts w:ascii="Times New Roman" w:hAnsi="Times New Roman" w:cs="Times New Roman"/>
          <w:color w:val="000000" w:themeColor="text1"/>
          <w:sz w:val="24"/>
          <w:szCs w:val="24"/>
        </w:rPr>
        <w:t>anti-oxidant</w:t>
      </w:r>
      <w:proofErr w:type="gramEnd"/>
      <w:r w:rsidRPr="00FE1898">
        <w:rPr>
          <w:rFonts w:ascii="Times New Roman" w:hAnsi="Times New Roman" w:cs="Times New Roman"/>
          <w:color w:val="000000" w:themeColor="text1"/>
          <w:sz w:val="24"/>
          <w:szCs w:val="24"/>
        </w:rPr>
        <w:t>/anti-inflammatory effects and HPA modulation. [4]</w:t>
      </w:r>
    </w:p>
    <w:p w14:paraId="4BB7A018"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Glycemic control and insulin sensitivity (adjunct)</w:t>
      </w:r>
    </w:p>
    <w:p w14:paraId="5E858E36"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Early clinical signals and multiple preclinical models suggest improved glucose tolerance and insulin sensitivity with Eleuthero or its polysaccharides; robust single-herb RCT evidence is limited. Eleutherosides and polysaccharides may modulate GLUT/AMPK signaling and low-grade inflammation. [5][8]</w:t>
      </w:r>
    </w:p>
    <w:p w14:paraId="44AD911F"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Cardiovascular and endothelial function surrogates</w:t>
      </w:r>
    </w:p>
    <w:p w14:paraId="51A5347E"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lastRenderedPageBreak/>
        <w:t>Preclinical and small human studies point to favorable effects on vascular tone, endothelial markers, and stress-induced BP reactivity; confirmatory controlled trials are required. Antioxidant lignans and saponins may be relevant. [5]</w:t>
      </w:r>
    </w:p>
    <w:p w14:paraId="49DBA4A2"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Sleep quality and anxiety-like symptoms (traditional use; preliminary data)</w:t>
      </w:r>
    </w:p>
    <w:p w14:paraId="0A47B30C"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Used in TCM to calm the spirit for insomnia with fatigue and worry. Limited clinical data suggest improvements in sleep quality and stress-related symptoms in subhealthy populations; stronger trials are needed. [2][4]</w:t>
      </w:r>
    </w:p>
    <w:p w14:paraId="7BAC7ED1"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Oncology supportive care signals (quality of life)</w:t>
      </w:r>
    </w:p>
    <w:p w14:paraId="2389FF41"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xml:space="preserve">Small studies in integrative settings have explored Eleuthero for fatigue, appetite, or immune indices during chemo/radiotherapy, with mixed outcomes; evidence remains exploratory and </w:t>
      </w:r>
      <w:proofErr w:type="gramStart"/>
      <w:r w:rsidRPr="00FE1898">
        <w:rPr>
          <w:rFonts w:ascii="Times New Roman" w:hAnsi="Times New Roman" w:cs="Times New Roman"/>
          <w:color w:val="000000" w:themeColor="text1"/>
          <w:sz w:val="24"/>
          <w:szCs w:val="24"/>
        </w:rPr>
        <w:t>formula-dependent</w:t>
      </w:r>
      <w:proofErr w:type="gramEnd"/>
      <w:r w:rsidRPr="00FE1898">
        <w:rPr>
          <w:rFonts w:ascii="Times New Roman" w:hAnsi="Times New Roman" w:cs="Times New Roman"/>
          <w:color w:val="000000" w:themeColor="text1"/>
          <w:sz w:val="24"/>
          <w:szCs w:val="24"/>
        </w:rPr>
        <w:t>. [6][7]</w:t>
      </w:r>
    </w:p>
    <w:p w14:paraId="001226AD" w14:textId="77777777" w:rsidR="003860A0" w:rsidRPr="00FE1898" w:rsidRDefault="00000000">
      <w:pPr>
        <w:pStyle w:val="ListNumber"/>
        <w:rPr>
          <w:rFonts w:ascii="Times New Roman" w:hAnsi="Times New Roman" w:cs="Times New Roman"/>
          <w:b/>
          <w:bCs/>
          <w:color w:val="000000" w:themeColor="text1"/>
          <w:sz w:val="28"/>
          <w:szCs w:val="28"/>
        </w:rPr>
      </w:pPr>
      <w:r w:rsidRPr="00FE1898">
        <w:rPr>
          <w:rFonts w:ascii="Times New Roman" w:hAnsi="Times New Roman" w:cs="Times New Roman"/>
          <w:b/>
          <w:bCs/>
          <w:color w:val="000000" w:themeColor="text1"/>
          <w:sz w:val="28"/>
          <w:szCs w:val="28"/>
        </w:rPr>
        <w:t>Neuroprotection and anti-inflammatory actions (mechanistic)</w:t>
      </w:r>
    </w:p>
    <w:p w14:paraId="536267F4"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Cell and animal work shows microglial modulation, antioxidant effects, and protection against ischemic or toxin-induced injury, mapping to cognitive and stress outcomes. Eleutheroside E and syringin are frequently implicated. [3][5]</w:t>
      </w:r>
    </w:p>
    <w:p w14:paraId="013AE2D3"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Bottom line: Eleuthero is an adaptogenic TCM herb used to tonify qi, improve stress resilience and fatigue, and gently support sleep/mood. Clinical signals exist for immune modulation and stress-related performance, but results are variable and often short-term or formula-level. Mechanistic plausibility is strong (eleutherosides, lignans, polysaccharides), while rigorous long-duration RCTs are still limited. [3][4][6]</w:t>
      </w:r>
    </w:p>
    <w:p w14:paraId="4B1C57F9" w14:textId="77777777" w:rsidR="003860A0" w:rsidRPr="00FE1898" w:rsidRDefault="00000000">
      <w:pPr>
        <w:pStyle w:val="Heading1"/>
        <w:rPr>
          <w:rFonts w:ascii="Times New Roman" w:hAnsi="Times New Roman" w:cs="Times New Roman"/>
          <w:color w:val="000000" w:themeColor="text1"/>
        </w:rPr>
      </w:pPr>
      <w:r w:rsidRPr="00FE1898">
        <w:rPr>
          <w:rFonts w:ascii="Times New Roman" w:hAnsi="Times New Roman" w:cs="Times New Roman"/>
          <w:color w:val="000000" w:themeColor="text1"/>
        </w:rPr>
        <w:t>How it’s used (TCM &amp; practical)</w:t>
      </w:r>
    </w:p>
    <w:p w14:paraId="1967C274"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Traditional functions: tonifies qi and strengthens the Spleen and Kidney, calms the spirit, augments appetite, and supports recovery from fatigue/weakness. Selected for overwork-related exhaustion, poor appetite, insomnia with worry, and weakness of the low back/knees (Kidney deficiency). [1][2]</w:t>
      </w:r>
    </w:p>
    <w:p w14:paraId="3C9B96A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Representative classical/modern uses (with notes):</w:t>
      </w:r>
    </w:p>
    <w:p w14:paraId="37EFA5EA"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Overwork fatigue with poor appetite and insomnia: pair with Bai Zhu (for Spleen) and Suan Zao Ren (for sleep) as appropriate. [2]</w:t>
      </w:r>
    </w:p>
    <w:p w14:paraId="7FBCD7A6"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Convalescence after illness: combine with light qi-tonics (e.g., Huang Qi) to rebuild qi without excess cloying. [2]</w:t>
      </w:r>
    </w:p>
    <w:p w14:paraId="0AA9ECC0"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lastRenderedPageBreak/>
        <w:t>• Low back and knee weakness: integrate with Kidney-tonifying companions such as Du Zhong or Gou Qi Zi by pattern. [2]</w:t>
      </w:r>
    </w:p>
    <w:p w14:paraId="33EC3560" w14:textId="77777777" w:rsidR="003860A0" w:rsidRPr="00FE1898" w:rsidRDefault="00000000">
      <w:pPr>
        <w:pStyle w:val="Heading1"/>
        <w:rPr>
          <w:rFonts w:ascii="Times New Roman" w:hAnsi="Times New Roman" w:cs="Times New Roman"/>
          <w:color w:val="000000" w:themeColor="text1"/>
        </w:rPr>
      </w:pPr>
      <w:r w:rsidRPr="00FE1898">
        <w:rPr>
          <w:rFonts w:ascii="Times New Roman" w:hAnsi="Times New Roman" w:cs="Times New Roman"/>
          <w:color w:val="000000" w:themeColor="text1"/>
        </w:rPr>
        <w:t>Adult Doses (How &amp; When to Use)</w:t>
      </w:r>
    </w:p>
    <w:p w14:paraId="07C8837D" w14:textId="0694C452"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xml:space="preserve">Adult Doses </w:t>
      </w:r>
      <w:r w:rsidR="00FE1898">
        <w:rPr>
          <w:rFonts w:ascii="Times New Roman" w:hAnsi="Times New Roman" w:cs="Times New Roman"/>
          <w:color w:val="000000" w:themeColor="text1"/>
          <w:sz w:val="24"/>
          <w:szCs w:val="24"/>
        </w:rPr>
        <w:t>-</w:t>
      </w:r>
      <w:r w:rsidRPr="00FE1898">
        <w:rPr>
          <w:rFonts w:ascii="Times New Roman" w:hAnsi="Times New Roman" w:cs="Times New Roman"/>
          <w:color w:val="000000" w:themeColor="text1"/>
          <w:sz w:val="24"/>
          <w:szCs w:val="24"/>
        </w:rPr>
        <w:t xml:space="preserve">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147"/>
        <w:gridCol w:w="3045"/>
        <w:gridCol w:w="1282"/>
      </w:tblGrid>
      <w:tr w:rsidR="00FE1898" w:rsidRPr="00FE1898" w14:paraId="7E6EE6AE" w14:textId="77777777" w:rsidTr="00293C86">
        <w:tc>
          <w:tcPr>
            <w:tcW w:w="2160" w:type="dxa"/>
          </w:tcPr>
          <w:p w14:paraId="3268FD32"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Form</w:t>
            </w:r>
          </w:p>
        </w:tc>
        <w:tc>
          <w:tcPr>
            <w:tcW w:w="2160" w:type="dxa"/>
          </w:tcPr>
          <w:p w14:paraId="00C63625"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Typical adult range</w:t>
            </w:r>
          </w:p>
        </w:tc>
        <w:tc>
          <w:tcPr>
            <w:tcW w:w="3065" w:type="dxa"/>
          </w:tcPr>
          <w:p w14:paraId="4F17C7C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Preparation / notes</w:t>
            </w:r>
          </w:p>
        </w:tc>
        <w:tc>
          <w:tcPr>
            <w:tcW w:w="1255" w:type="dxa"/>
          </w:tcPr>
          <w:p w14:paraId="5E585983"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References</w:t>
            </w:r>
          </w:p>
        </w:tc>
      </w:tr>
      <w:tr w:rsidR="00FE1898" w:rsidRPr="00FE1898" w14:paraId="53FE2326" w14:textId="77777777" w:rsidTr="00293C86">
        <w:tc>
          <w:tcPr>
            <w:tcW w:w="2160" w:type="dxa"/>
          </w:tcPr>
          <w:p w14:paraId="7F949738"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Decoction (dried root/stem bark)</w:t>
            </w:r>
          </w:p>
        </w:tc>
        <w:tc>
          <w:tcPr>
            <w:tcW w:w="2160" w:type="dxa"/>
          </w:tcPr>
          <w:p w14:paraId="027A42D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9–30 g per day</w:t>
            </w:r>
          </w:p>
        </w:tc>
        <w:tc>
          <w:tcPr>
            <w:tcW w:w="3065" w:type="dxa"/>
          </w:tcPr>
          <w:p w14:paraId="276329E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Often used in formulas; simmer as standard decoction.</w:t>
            </w:r>
          </w:p>
        </w:tc>
        <w:tc>
          <w:tcPr>
            <w:tcW w:w="1255" w:type="dxa"/>
          </w:tcPr>
          <w:p w14:paraId="224BE0DC"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[1][2]</w:t>
            </w:r>
          </w:p>
        </w:tc>
      </w:tr>
      <w:tr w:rsidR="00FE1898" w:rsidRPr="00FE1898" w14:paraId="7BE043C6" w14:textId="77777777" w:rsidTr="00293C86">
        <w:tc>
          <w:tcPr>
            <w:tcW w:w="2160" w:type="dxa"/>
          </w:tcPr>
          <w:p w14:paraId="579750B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Extract granules/powders</w:t>
            </w:r>
          </w:p>
        </w:tc>
        <w:tc>
          <w:tcPr>
            <w:tcW w:w="2160" w:type="dxa"/>
          </w:tcPr>
          <w:p w14:paraId="6300ED4C"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Dose to dried-herb equivalent of 9–30 g</w:t>
            </w:r>
          </w:p>
        </w:tc>
        <w:tc>
          <w:tcPr>
            <w:tcW w:w="3065" w:type="dxa"/>
          </w:tcPr>
          <w:p w14:paraId="359C74DF"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Follow product standardization (eleutherosides content).</w:t>
            </w:r>
          </w:p>
        </w:tc>
        <w:tc>
          <w:tcPr>
            <w:tcW w:w="1255" w:type="dxa"/>
          </w:tcPr>
          <w:p w14:paraId="4E3C56F1"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[3][4]</w:t>
            </w:r>
          </w:p>
        </w:tc>
      </w:tr>
      <w:tr w:rsidR="00FE1898" w:rsidRPr="00FE1898" w14:paraId="2DCD009F" w14:textId="77777777" w:rsidTr="00293C86">
        <w:tc>
          <w:tcPr>
            <w:tcW w:w="2160" w:type="dxa"/>
          </w:tcPr>
          <w:p w14:paraId="6594F62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Standardized extract (capsules)</w:t>
            </w:r>
          </w:p>
        </w:tc>
        <w:tc>
          <w:tcPr>
            <w:tcW w:w="2160" w:type="dxa"/>
          </w:tcPr>
          <w:p w14:paraId="1EB4B766"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Commonly 300–1200 mg per day</w:t>
            </w:r>
          </w:p>
        </w:tc>
        <w:tc>
          <w:tcPr>
            <w:tcW w:w="3065" w:type="dxa"/>
          </w:tcPr>
          <w:p w14:paraId="15EC8D7D"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Standardization varies; avoid stimulant combos at night.</w:t>
            </w:r>
          </w:p>
        </w:tc>
        <w:tc>
          <w:tcPr>
            <w:tcW w:w="1255" w:type="dxa"/>
          </w:tcPr>
          <w:p w14:paraId="2EFCA830"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[4]</w:t>
            </w:r>
          </w:p>
        </w:tc>
      </w:tr>
      <w:tr w:rsidR="00FE1898" w:rsidRPr="00FE1898" w14:paraId="1429DE09" w14:textId="77777777" w:rsidTr="00293C86">
        <w:tc>
          <w:tcPr>
            <w:tcW w:w="2160" w:type="dxa"/>
          </w:tcPr>
          <w:p w14:paraId="2C9D9CA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Duration</w:t>
            </w:r>
          </w:p>
        </w:tc>
        <w:tc>
          <w:tcPr>
            <w:tcW w:w="2160" w:type="dxa"/>
          </w:tcPr>
          <w:p w14:paraId="35901BD9"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4–12 weeks then reassess</w:t>
            </w:r>
          </w:p>
        </w:tc>
        <w:tc>
          <w:tcPr>
            <w:tcW w:w="3065" w:type="dxa"/>
          </w:tcPr>
          <w:p w14:paraId="7489117F"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xml:space="preserve">Long-term continuous use should be </w:t>
            </w:r>
            <w:proofErr w:type="gramStart"/>
            <w:r w:rsidRPr="00FE1898">
              <w:rPr>
                <w:rFonts w:ascii="Times New Roman" w:hAnsi="Times New Roman" w:cs="Times New Roman"/>
                <w:color w:val="000000" w:themeColor="text1"/>
                <w:sz w:val="24"/>
                <w:szCs w:val="24"/>
              </w:rPr>
              <w:t>clinician-guided</w:t>
            </w:r>
            <w:proofErr w:type="gramEnd"/>
            <w:r w:rsidRPr="00FE1898">
              <w:rPr>
                <w:rFonts w:ascii="Times New Roman" w:hAnsi="Times New Roman" w:cs="Times New Roman"/>
                <w:color w:val="000000" w:themeColor="text1"/>
                <w:sz w:val="24"/>
                <w:szCs w:val="24"/>
              </w:rPr>
              <w:t>.</w:t>
            </w:r>
          </w:p>
        </w:tc>
        <w:tc>
          <w:tcPr>
            <w:tcW w:w="1255" w:type="dxa"/>
          </w:tcPr>
          <w:p w14:paraId="497121C8"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[2]</w:t>
            </w:r>
          </w:p>
        </w:tc>
      </w:tr>
    </w:tbl>
    <w:p w14:paraId="2537B3B9" w14:textId="77777777" w:rsidR="003860A0" w:rsidRPr="00FE1898" w:rsidRDefault="00000000">
      <w:pPr>
        <w:pStyle w:val="Heading1"/>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Safety, interactions &amp; who should avoid it</w:t>
      </w:r>
    </w:p>
    <w:p w14:paraId="64F67960" w14:textId="28DD0E49"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Generally well tolerated; occasional insomnia, irritability, or palpitations at higher doses</w:t>
      </w:r>
      <w:r w:rsidR="00293C86" w:rsidRPr="00FE1898">
        <w:rPr>
          <w:rFonts w:ascii="Times New Roman" w:hAnsi="Times New Roman" w:cs="Times New Roman"/>
          <w:color w:val="000000" w:themeColor="text1"/>
          <w:sz w:val="24"/>
          <w:szCs w:val="24"/>
        </w:rPr>
        <w:t xml:space="preserve"> </w:t>
      </w:r>
      <w:r w:rsidRPr="00FE1898">
        <w:rPr>
          <w:rFonts w:ascii="Times New Roman" w:hAnsi="Times New Roman" w:cs="Times New Roman"/>
          <w:color w:val="000000" w:themeColor="text1"/>
          <w:sz w:val="24"/>
          <w:szCs w:val="24"/>
        </w:rPr>
        <w:t>reduce or move dose earlier in the day. [4]</w:t>
      </w:r>
    </w:p>
    <w:p w14:paraId="5E9B486A"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Cardiovascular: use caution in uncontrolled hypertension or tachyarrhythmias; monitor BP/HR in sensitive individuals. [4]</w:t>
      </w:r>
    </w:p>
    <w:p w14:paraId="063603F8"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Anticoagulants/antiplatelets: theoretical interactions; monitor if combined with warfarin or dual antiplatelet therapy. [4]</w:t>
      </w:r>
    </w:p>
    <w:p w14:paraId="6143056D" w14:textId="7A7ACBF0"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Digoxin assays: historical reports of assay interference/adulteration</w:t>
      </w:r>
      <w:r w:rsidR="00293C86" w:rsidRPr="00FE1898">
        <w:rPr>
          <w:rFonts w:ascii="Times New Roman" w:hAnsi="Times New Roman" w:cs="Times New Roman"/>
          <w:color w:val="000000" w:themeColor="text1"/>
          <w:sz w:val="24"/>
          <w:szCs w:val="24"/>
        </w:rPr>
        <w:t xml:space="preserve"> - </w:t>
      </w:r>
      <w:r w:rsidRPr="00FE1898">
        <w:rPr>
          <w:rFonts w:ascii="Times New Roman" w:hAnsi="Times New Roman" w:cs="Times New Roman"/>
          <w:color w:val="000000" w:themeColor="text1"/>
          <w:sz w:val="24"/>
          <w:szCs w:val="24"/>
        </w:rPr>
        <w:t>use reputable sources and clinical correlation for digoxin levels. [9]</w:t>
      </w:r>
    </w:p>
    <w:p w14:paraId="6334199C" w14:textId="081184A5"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Autoimmune/immunosuppressed states: theoretical immune-stimulation</w:t>
      </w:r>
      <w:r w:rsidR="00293C86" w:rsidRPr="00FE1898">
        <w:rPr>
          <w:rFonts w:ascii="Times New Roman" w:hAnsi="Times New Roman" w:cs="Times New Roman"/>
          <w:color w:val="000000" w:themeColor="text1"/>
          <w:sz w:val="24"/>
          <w:szCs w:val="24"/>
        </w:rPr>
        <w:t xml:space="preserve"> - </w:t>
      </w:r>
      <w:r w:rsidRPr="00FE1898">
        <w:rPr>
          <w:rFonts w:ascii="Times New Roman" w:hAnsi="Times New Roman" w:cs="Times New Roman"/>
          <w:color w:val="000000" w:themeColor="text1"/>
          <w:sz w:val="24"/>
          <w:szCs w:val="24"/>
        </w:rPr>
        <w:t>discuss with treating clinician before use. [6]</w:t>
      </w:r>
    </w:p>
    <w:p w14:paraId="60C76EE7"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Pregnancy/lactation: insufficient high-quality safety data; avoid unless supervised by a qualified clinician. [2]</w:t>
      </w:r>
    </w:p>
    <w:p w14:paraId="5DF69013" w14:textId="77777777" w:rsidR="003860A0" w:rsidRPr="00FE1898" w:rsidRDefault="00000000">
      <w:pPr>
        <w:pStyle w:val="Heading1"/>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lastRenderedPageBreak/>
        <w:t>Notes for clinical use (quick)</w:t>
      </w:r>
    </w:p>
    <w:p w14:paraId="570201EB"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Aim for daytime dosing; avoid late-evening doses if sleep is light.</w:t>
      </w:r>
    </w:p>
    <w:p w14:paraId="0310661F"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For qi deficiency with dampness, pair with gentle digestives (Chen Pi, Sha Ren) to prevent cloying. [2]</w:t>
      </w:r>
    </w:p>
    <w:p w14:paraId="272A6D42"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 Set expectations: benefits accrue over weeks; stop if overstimulation (insomnia, palpitations) occurs. [4]</w:t>
      </w:r>
    </w:p>
    <w:p w14:paraId="21AE4716" w14:textId="77777777" w:rsidR="003860A0" w:rsidRPr="00FE1898" w:rsidRDefault="00000000">
      <w:pPr>
        <w:pStyle w:val="Heading1"/>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References</w:t>
      </w:r>
    </w:p>
    <w:p w14:paraId="35E9D3C3"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[1] Standard TCM materia medica (Ci Wu Jia): functions, channels, dosing, indications.</w:t>
      </w:r>
    </w:p>
    <w:p w14:paraId="666D9F3A"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[2] English-language TCM monographs/teaching notes comparing qi-tonifying herbs and shen-calming indications.</w:t>
      </w:r>
    </w:p>
    <w:p w14:paraId="1682678A"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[3] Pharmacology reviews on Eleutherococcus senticosus: eleutherosides, adaptogenic mechanisms, anti-fatigue/neuromodulatory evidence.</w:t>
      </w:r>
    </w:p>
    <w:p w14:paraId="23CAC917"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[4] Clinical overviews of Eleuthero (Siberian ginseng) extracts: dosing, safety, mixed RCT results in stress/fatigue/performance.</w:t>
      </w:r>
    </w:p>
    <w:p w14:paraId="3591346C"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[5] Experimental studies on lignans/phenylpropanoids and polysaccharides: antioxidant, anti-inflammatory, neuroimmune pathways.</w:t>
      </w:r>
    </w:p>
    <w:p w14:paraId="1E94EE80"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[6] Small clinical trials/observational data on immune indices and URTI outcomes in stressed/active populations.</w:t>
      </w:r>
    </w:p>
    <w:p w14:paraId="528E611E"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[7] In vitro antiviral/antimicrobial reports relevant to URTI contexts (formulation-level translation uncertain).</w:t>
      </w:r>
    </w:p>
    <w:p w14:paraId="3B3093B7"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[8] Preclinical and early clinical signals on glycemic control and insulin sensitivity with Eleuthero.</w:t>
      </w:r>
    </w:p>
    <w:p w14:paraId="519FA8D3" w14:textId="77777777" w:rsidR="003860A0" w:rsidRPr="00FE1898" w:rsidRDefault="00000000">
      <w:pPr>
        <w:rPr>
          <w:rFonts w:ascii="Times New Roman" w:hAnsi="Times New Roman" w:cs="Times New Roman"/>
          <w:color w:val="000000" w:themeColor="text1"/>
          <w:sz w:val="24"/>
          <w:szCs w:val="24"/>
        </w:rPr>
      </w:pPr>
      <w:r w:rsidRPr="00FE1898">
        <w:rPr>
          <w:rFonts w:ascii="Times New Roman" w:hAnsi="Times New Roman" w:cs="Times New Roman"/>
          <w:color w:val="000000" w:themeColor="text1"/>
          <w:sz w:val="24"/>
          <w:szCs w:val="24"/>
        </w:rPr>
        <w:t>[9] Case reports and lab advisories on digoxin assay interference/adulteration with Eleuthero products.</w:t>
      </w:r>
    </w:p>
    <w:sectPr w:rsidR="003860A0" w:rsidRPr="00FE189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43020100">
    <w:abstractNumId w:val="8"/>
  </w:num>
  <w:num w:numId="2" w16cid:durableId="243417470">
    <w:abstractNumId w:val="6"/>
  </w:num>
  <w:num w:numId="3" w16cid:durableId="620772051">
    <w:abstractNumId w:val="5"/>
  </w:num>
  <w:num w:numId="4" w16cid:durableId="1498693981">
    <w:abstractNumId w:val="4"/>
  </w:num>
  <w:num w:numId="5" w16cid:durableId="2060399807">
    <w:abstractNumId w:val="7"/>
  </w:num>
  <w:num w:numId="6" w16cid:durableId="1455517503">
    <w:abstractNumId w:val="3"/>
  </w:num>
  <w:num w:numId="7" w16cid:durableId="9256974">
    <w:abstractNumId w:val="2"/>
  </w:num>
  <w:num w:numId="8" w16cid:durableId="1791052325">
    <w:abstractNumId w:val="1"/>
  </w:num>
  <w:num w:numId="9" w16cid:durableId="18691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3C86"/>
    <w:rsid w:val="0029639D"/>
    <w:rsid w:val="00326F90"/>
    <w:rsid w:val="003860A0"/>
    <w:rsid w:val="006B64C2"/>
    <w:rsid w:val="006E2DF3"/>
    <w:rsid w:val="009B3568"/>
    <w:rsid w:val="00AA1D8D"/>
    <w:rsid w:val="00B47730"/>
    <w:rsid w:val="00CB0664"/>
    <w:rsid w:val="00FC693F"/>
    <w:rsid w:val="00FE1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D325F"/>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4</cp:revision>
  <dcterms:created xsi:type="dcterms:W3CDTF">2025-08-13T13:45:00Z</dcterms:created>
  <dcterms:modified xsi:type="dcterms:W3CDTF">2025-09-02T08:08:00Z</dcterms:modified>
  <cp:category/>
</cp:coreProperties>
</file>