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9F8A" w14:textId="77777777" w:rsidR="003A422C" w:rsidRPr="006D2885" w:rsidRDefault="00000000">
      <w:pPr>
        <w:pStyle w:val="Title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6D288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Codonopsis Root (Dang Shen, Radix Codonopsis): Uses, Benefits, Dosage, Safety &amp; TCM Perspective</w:t>
      </w:r>
    </w:p>
    <w:p w14:paraId="5E695310" w14:textId="77777777" w:rsidR="003A422C" w:rsidRPr="006D2885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6D2885">
        <w:rPr>
          <w:rFonts w:ascii="Times New Roman" w:hAnsi="Times New Roman" w:cs="Times New Roman"/>
          <w:color w:val="000000" w:themeColor="text1"/>
        </w:rPr>
        <w:t>What it is</w:t>
      </w:r>
    </w:p>
    <w:p w14:paraId="09A4762A" w14:textId="27BF3E97" w:rsidR="003A422C" w:rsidRPr="006D2885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Codonopsis Root (Dang Shen) is the dried root of Codonopsis spp. (Campanulaceae), widely used as a gentle Qi tonic that supports the Spleen and Lung. In TCM it augments Qi, strengthens digestion, and nourishes fluids, and is often used as a milder substitute for ginseng in pattern‑based formulas [1</w:t>
      </w:r>
      <w:r w:rsidR="006D288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2,8]. Modern research centers on Codonopsis polysaccharides (CPPs), inulin‑type fructans, and saponins as key bioactives linked to immunomodulation, microbiota modulation, and anti‑inflammatory effects [1,3,5].</w:t>
      </w:r>
    </w:p>
    <w:p w14:paraId="0555EB93" w14:textId="77777777" w:rsidR="003A422C" w:rsidRPr="006D2885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Identity &amp; Taxonomy (Quick Reference)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5"/>
        <w:gridCol w:w="5195"/>
      </w:tblGrid>
      <w:tr w:rsidR="006D2885" w:rsidRPr="006D2885" w14:paraId="5147736B" w14:textId="77777777" w:rsidTr="00567A52">
        <w:tc>
          <w:tcPr>
            <w:tcW w:w="3438" w:type="dxa"/>
          </w:tcPr>
          <w:p w14:paraId="4C3B105D" w14:textId="77777777" w:rsidR="003A422C" w:rsidRPr="00567A52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7A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English name</w:t>
            </w:r>
          </w:p>
        </w:tc>
        <w:tc>
          <w:tcPr>
            <w:tcW w:w="5202" w:type="dxa"/>
          </w:tcPr>
          <w:p w14:paraId="10EF8ED6" w14:textId="77777777" w:rsidR="003A422C" w:rsidRPr="006D288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Codonopsis Root; Dang Shen</w:t>
            </w:r>
          </w:p>
        </w:tc>
      </w:tr>
      <w:tr w:rsidR="006D2885" w:rsidRPr="006D2885" w14:paraId="2446F531" w14:textId="77777777" w:rsidTr="00567A52">
        <w:tc>
          <w:tcPr>
            <w:tcW w:w="3438" w:type="dxa"/>
          </w:tcPr>
          <w:p w14:paraId="3D23BB3E" w14:textId="77777777" w:rsidR="003A422C" w:rsidRPr="00567A52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7A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Latin pharmaceutical name</w:t>
            </w:r>
          </w:p>
        </w:tc>
        <w:tc>
          <w:tcPr>
            <w:tcW w:w="5202" w:type="dxa"/>
          </w:tcPr>
          <w:p w14:paraId="1ED31E87" w14:textId="77777777" w:rsidR="003A422C" w:rsidRPr="006D288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Radix Codonopsis</w:t>
            </w:r>
          </w:p>
        </w:tc>
      </w:tr>
      <w:tr w:rsidR="006D2885" w:rsidRPr="006D2885" w14:paraId="652EE29A" w14:textId="77777777" w:rsidTr="00567A52">
        <w:tc>
          <w:tcPr>
            <w:tcW w:w="3438" w:type="dxa"/>
          </w:tcPr>
          <w:p w14:paraId="51390B9A" w14:textId="77777777" w:rsidR="003A422C" w:rsidRPr="00567A52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7A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Common names</w:t>
            </w:r>
          </w:p>
        </w:tc>
        <w:tc>
          <w:tcPr>
            <w:tcW w:w="5202" w:type="dxa"/>
          </w:tcPr>
          <w:p w14:paraId="147EF2A2" w14:textId="77777777" w:rsidR="003A422C" w:rsidRPr="006D288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Dang Shen; Poor Man’s Ginseng</w:t>
            </w:r>
          </w:p>
        </w:tc>
      </w:tr>
      <w:tr w:rsidR="006D2885" w:rsidRPr="006D2885" w14:paraId="47DA1C94" w14:textId="77777777" w:rsidTr="00567A52">
        <w:tc>
          <w:tcPr>
            <w:tcW w:w="3438" w:type="dxa"/>
          </w:tcPr>
          <w:p w14:paraId="52B81F29" w14:textId="77777777" w:rsidR="003A422C" w:rsidRPr="00567A52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7A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category / channels</w:t>
            </w:r>
          </w:p>
        </w:tc>
        <w:tc>
          <w:tcPr>
            <w:tcW w:w="5202" w:type="dxa"/>
          </w:tcPr>
          <w:p w14:paraId="7C905357" w14:textId="77777777" w:rsidR="003A422C" w:rsidRPr="006D288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 Tonics; enters Spleen and Lung [2].</w:t>
            </w:r>
          </w:p>
        </w:tc>
      </w:tr>
      <w:tr w:rsidR="006D2885" w:rsidRPr="006D2885" w14:paraId="15F8BACA" w14:textId="77777777" w:rsidTr="00567A52">
        <w:tc>
          <w:tcPr>
            <w:tcW w:w="3438" w:type="dxa"/>
          </w:tcPr>
          <w:p w14:paraId="158729DE" w14:textId="77777777" w:rsidR="003A422C" w:rsidRPr="00567A52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7A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nature &amp; taste</w:t>
            </w:r>
          </w:p>
        </w:tc>
        <w:tc>
          <w:tcPr>
            <w:tcW w:w="5202" w:type="dxa"/>
          </w:tcPr>
          <w:p w14:paraId="7D5DE3CA" w14:textId="77777777" w:rsidR="003A422C" w:rsidRPr="006D288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Neutral to slightly warm; sweet [2,17].</w:t>
            </w:r>
          </w:p>
        </w:tc>
      </w:tr>
      <w:tr w:rsidR="006D2885" w:rsidRPr="006D2885" w14:paraId="2E1EFF8F" w14:textId="77777777" w:rsidTr="00567A52">
        <w:tc>
          <w:tcPr>
            <w:tcW w:w="3438" w:type="dxa"/>
          </w:tcPr>
          <w:p w14:paraId="02229B59" w14:textId="77777777" w:rsidR="003A422C" w:rsidRPr="00567A52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7A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Organ/function focus</w:t>
            </w:r>
          </w:p>
        </w:tc>
        <w:tc>
          <w:tcPr>
            <w:tcW w:w="5202" w:type="dxa"/>
          </w:tcPr>
          <w:p w14:paraId="04AE4F25" w14:textId="77777777" w:rsidR="003A422C" w:rsidRPr="006D288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Spleen/Lung Qi; digestion &amp; appetite; fluid generation; prolapse due to Qi deficiency [2].</w:t>
            </w:r>
          </w:p>
        </w:tc>
      </w:tr>
      <w:tr w:rsidR="00567A52" w:rsidRPr="006D2885" w14:paraId="62459DEE" w14:textId="77777777" w:rsidTr="00567A52">
        <w:tc>
          <w:tcPr>
            <w:tcW w:w="3438" w:type="dxa"/>
          </w:tcPr>
          <w:p w14:paraId="763ED580" w14:textId="77777777" w:rsidR="003A422C" w:rsidRPr="00567A52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7A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Primary species</w:t>
            </w:r>
          </w:p>
        </w:tc>
        <w:tc>
          <w:tcPr>
            <w:tcW w:w="5202" w:type="dxa"/>
          </w:tcPr>
          <w:p w14:paraId="63918FC6" w14:textId="77777777" w:rsidR="003A422C" w:rsidRPr="006D2885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Codonopsis pilosula; C. tangshen; C. lanceolata (regional) (Campanulaceae) [8,15].</w:t>
            </w:r>
          </w:p>
        </w:tc>
      </w:tr>
    </w:tbl>
    <w:p w14:paraId="23C8AF18" w14:textId="77777777" w:rsidR="003A422C" w:rsidRPr="006D2885" w:rsidRDefault="003A42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F1FA51" w14:textId="77777777" w:rsidR="003A422C" w:rsidRPr="00567A52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567A52">
        <w:rPr>
          <w:rFonts w:ascii="Times New Roman" w:hAnsi="Times New Roman" w:cs="Times New Roman"/>
          <w:color w:val="000000" w:themeColor="text1"/>
        </w:rPr>
        <w:t>Key constituents (why it works)</w:t>
      </w:r>
    </w:p>
    <w:p w14:paraId="321CE405" w14:textId="77777777" w:rsidR="003A422C" w:rsidRPr="006D2885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• Polysaccharides (CPPs) &amp; inulin‑type fructans → immunomodulation, anti‑inflammatory signaling (e.g., TLR4‑NF‑κB), gut‑microbiota remodeling, mucosal protection [1,3,5,16].</w:t>
      </w: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Saponins, phenylpropanoids, polyacetylenes, alkaloids, triterpenoids → anti‑oxidative, gastroprotective and hematopoietic support signals (preclinical/early translational) [3,8,15].</w:t>
      </w:r>
    </w:p>
    <w:p w14:paraId="1964718E" w14:textId="77777777" w:rsidR="003A422C" w:rsidRPr="00567A52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567A52">
        <w:rPr>
          <w:rFonts w:ascii="Times New Roman" w:hAnsi="Times New Roman" w:cs="Times New Roman"/>
          <w:color w:val="000000" w:themeColor="text1"/>
        </w:rPr>
        <w:t>Evidence-supported directions (clinical &amp; preclinical)</w:t>
      </w:r>
    </w:p>
    <w:p w14:paraId="3D6510FB" w14:textId="77777777" w:rsidR="003A422C" w:rsidRPr="006D2885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 Spleen‑Qi deficiency &amp; gastrointestinal function</w:t>
      </w:r>
    </w:p>
    <w:p w14:paraId="69493018" w14:textId="77777777" w:rsidR="003A422C" w:rsidRPr="006D2885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CPPs improved multi‑domain readouts in spleen‑deficiency models (microbiota, metabolites, and targeted markers), aligning with traditional indications for poor appetite, fatigue and loose stools [5,7,15]. Chemical‑component reviews also highlight anti‑ulcer and mucosal‑protective actions of Codonopsis extracts [3].</w:t>
      </w:r>
    </w:p>
    <w:p w14:paraId="37C6EA6D" w14:textId="77777777" w:rsidR="003A422C" w:rsidRPr="006D2885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2) Fatigue &amp; vitality (adjunctive)</w:t>
      </w:r>
    </w:p>
    <w:p w14:paraId="651C2C0A" w14:textId="77777777" w:rsidR="003A422C" w:rsidRPr="006D2885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Codonopsis appears in many Qi‑tonic formulas used clinically for fatigue; high‑quality single‑herb RCTs remain limited. Related formula trials (e.g., Xiaoyao San in CFS; Shengmai liquid under study for post‑viral fatigue) suggest potential symptom benefits while underscoring the need for targeted Codonopsis trials [4,14].</w:t>
      </w:r>
    </w:p>
    <w:p w14:paraId="04D270AD" w14:textId="77777777" w:rsidR="003A422C" w:rsidRPr="006D2885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 Immune modulation &amp; host defense</w:t>
      </w:r>
    </w:p>
    <w:p w14:paraId="183945B0" w14:textId="77777777" w:rsidR="003A422C" w:rsidRPr="006D2885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Contemporary reviews and mechanistic studies report immune‑enhancing and anti‑inflammatory effects of CPPs (including nanoparticle complexes), and multi‑omics work supports immunomodulation in stress/sepsis models [1,6,11,12].</w:t>
      </w:r>
    </w:p>
    <w:p w14:paraId="68332430" w14:textId="77777777" w:rsidR="003A422C" w:rsidRPr="006D2885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4) Hematopoietic support / oncology care (adjunctive, formula‑level)</w:t>
      </w:r>
    </w:p>
    <w:p w14:paraId="0D002892" w14:textId="77777777" w:rsidR="003A422C" w:rsidRPr="006D2885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In a randomized study of Jianpishengsui for chemotherapy‑induced anemia, the treatment group improved Hb/RBC vs. control; Codonopsis is a core Qi‑tonic component within such formulas, but attribution to single‑herb effects is not appropriate [9].</w:t>
      </w:r>
    </w:p>
    <w:p w14:paraId="5A21286D" w14:textId="77777777" w:rsidR="003A422C" w:rsidRPr="006D2885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5) Metabolic &amp; cardiopulmonary signals (early)</w:t>
      </w:r>
    </w:p>
    <w:p w14:paraId="4518D110" w14:textId="77777777" w:rsidR="003A422C" w:rsidRPr="006D2885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Reviews note constituents with potential for glycemic modulation and lung protection in inflammatory models; these remain preclinical/early translational and require dedicated clinical trials [3,5,15].</w:t>
      </w:r>
    </w:p>
    <w:p w14:paraId="64192921" w14:textId="4CB09374" w:rsidR="003A422C" w:rsidRPr="006D2885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Bottom line: Best aligned with traditional Qi‑tonic roles</w:t>
      </w:r>
      <w:r w:rsidR="00567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digestion, energy, gentle immune support</w:t>
      </w:r>
      <w:r w:rsidR="00567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primarily as part of formulas. Human evidence specific to single‑herb Codonopsis is still developing; present benefits as adjunctive and pattern‑based [1,3,15].</w:t>
      </w:r>
    </w:p>
    <w:p w14:paraId="344BBA6B" w14:textId="77777777" w:rsidR="003A422C" w:rsidRPr="006D2885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How to use (TCM + practical)</w:t>
      </w:r>
    </w:p>
    <w:p w14:paraId="583B7622" w14:textId="77777777" w:rsidR="003A422C" w:rsidRPr="006D2885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Pattern first: Spleen‑Qi deficiency (fatigue, weak appetite, loose stools, prolapse) or Lung‑Qi deficiency (chronic cough/SOB with deficiency) [2].</w:t>
      </w:r>
    </w:p>
    <w:p w14:paraId="7C2FD954" w14:textId="7CDA056A" w:rsidR="003A422C" w:rsidRPr="006D2885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Forms &amp; typical adult dose: Decoction 9</w:t>
      </w:r>
      <w:r w:rsidR="00567A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30 g/day (occasionally higher short‑term under supervision); granules per label (often 3</w:t>
      </w:r>
      <w:r w:rsidR="00567A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9 g/day equivalents). Extracts/tinctures per manufacturer; start low and re‑assess after 2</w:t>
      </w:r>
      <w:r w:rsidR="00567A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4 weeks [2,17].</w:t>
      </w:r>
    </w:p>
    <w:p w14:paraId="52B169B2" w14:textId="77777777" w:rsidR="003A422C" w:rsidRPr="006D2885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Often substitutes for ginseng in classic formulas when a gentler, more food‑like tonic is desired [27].</w:t>
      </w:r>
    </w:p>
    <w:p w14:paraId="7B30A701" w14:textId="77777777" w:rsidR="003A422C" w:rsidRPr="006D2885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A52">
        <w:rPr>
          <w:rFonts w:ascii="Times New Roman" w:hAnsi="Times New Roman" w:cs="Times New Roman"/>
          <w:color w:val="000000" w:themeColor="text1"/>
        </w:rPr>
        <w:t>Synergy &amp; “Steady-State Quartet”</w:t>
      </w: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counter-balance</w:t>
      </w:r>
      <w:proofErr w:type="gramEnd"/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(examples)</w:t>
      </w:r>
    </w:p>
    <w:p w14:paraId="1483CD4C" w14:textId="77777777" w:rsidR="003A422C" w:rsidRPr="006D2885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Qi deficiency fatigue/digestive weakness: Dang Shen + Huang Qi (raise Qi/microcirculation) + Bai Zhu (fortify Spleen, dry damp) + Gan Cao (harmonize) → Si‑Jun‑Zi‑Tang‑style support.</w:t>
      </w:r>
    </w:p>
    <w:p w14:paraId="1F67A0B9" w14:textId="77777777" w:rsidR="003A422C" w:rsidRPr="006D2885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Qi &amp; Blood deficiency (post‑illness/chemo convalescence): Dang Shen + Dang Gui (nourish Blood) + Shu Di or Bai Shao + Huang Qi → energy + hematologic support (adjunctive).</w:t>
      </w:r>
    </w:p>
    <w:p w14:paraId="658D90F4" w14:textId="77777777" w:rsidR="003A422C" w:rsidRPr="006D2885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Lung‑Qi deficiency with phlegm: Dang Shen + Chen Pi/Ban Xia (transform phlegm, move qi) + Wu Wei Zi (astringe) → tonify without cloying.</w:t>
      </w:r>
    </w:p>
    <w:p w14:paraId="02FEBFE1" w14:textId="77777777" w:rsidR="003A422C" w:rsidRPr="006D2885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Spleen damp with poor appetite: Dang Shen + Fu Ling (drain damp) + Sha Ren (awaken Spleen) + Chen Pi (regulate Qi) → tonic without stagnation.</w:t>
      </w:r>
    </w:p>
    <w:p w14:paraId="0213C90C" w14:textId="77777777" w:rsidR="003A422C" w:rsidRPr="00567A52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567A52">
        <w:rPr>
          <w:rFonts w:ascii="Times New Roman" w:hAnsi="Times New Roman" w:cs="Times New Roman"/>
          <w:color w:val="000000" w:themeColor="text1"/>
        </w:rPr>
        <w:t>Safety, interactions, quality</w:t>
      </w:r>
    </w:p>
    <w:p w14:paraId="4C148E94" w14:textId="33E0D21D" w:rsidR="003A422C" w:rsidRPr="006D2885" w:rsidRDefault="00567A52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Generally,</w:t>
      </w:r>
      <w:r w:rsidR="00000000"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well‑tolerated as a food‑like tonic; occasional GI fullness or loose stools in sensitive users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0000"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adjust dose/combination accordingly [2,15].</w:t>
      </w:r>
    </w:p>
    <w:p w14:paraId="4BAE9D99" w14:textId="77777777" w:rsidR="003A422C" w:rsidRPr="006D2885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Avoid/Use with caution: excess heat, damp‑phlegm accumulation, or during acute external invasion (until exterior is resolved); individualize in pregnancy [2].</w:t>
      </w:r>
    </w:p>
    <w:p w14:paraId="04E0E6FA" w14:textId="77777777" w:rsidR="003A422C" w:rsidRPr="006D2885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Interactions: theoretical additivity with glucose‑lowering or immunomodulatory agents; coordinate with medical care in complex cases [3,15].</w:t>
      </w:r>
    </w:p>
    <w:p w14:paraId="4309C9FB" w14:textId="77777777" w:rsidR="003A422C" w:rsidRPr="006D2885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Quality: verify species (C. pilosula/C. tangshen), origin and processing; prefer GMP suppliers. Analytical profiling increasingly quantifies polysaccharides/inulin and key saponins [3,10,13].</w:t>
      </w:r>
    </w:p>
    <w:p w14:paraId="69966EC2" w14:textId="77777777" w:rsidR="003A422C" w:rsidRPr="006D2885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Quick reference (clinical talking points)</w:t>
      </w:r>
    </w:p>
    <w:p w14:paraId="4B23FABE" w14:textId="77777777" w:rsidR="003A422C" w:rsidRPr="006D2885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Gentle Qi tonic for digestion and energy; supports Spleen/Lung patterns.</w:t>
      </w:r>
    </w:p>
    <w:p w14:paraId="3E5724F0" w14:textId="77777777" w:rsidR="003A422C" w:rsidRPr="006D2885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Best used in formulas; can substitute for ginseng when a milder profile is preferred.</w:t>
      </w:r>
    </w:p>
    <w:p w14:paraId="3030E3D4" w14:textId="77777777" w:rsidR="003A422C" w:rsidRPr="006D2885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Monitor for dampness/stagnation; pair with aromatics/regulators if appetite is weak or phlegm is present.</w:t>
      </w:r>
    </w:p>
    <w:p w14:paraId="5EA11148" w14:textId="77777777" w:rsidR="003A422C" w:rsidRPr="006D2885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6420EC1E" w14:textId="0582357D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Guo H, et al. A systematic review of the mechanism of action and pharmacology of Codonopsis species (CPPs emphasized). 2024. (PMC11128667)</w:t>
      </w:r>
    </w:p>
    <w:p w14:paraId="5E0F297E" w14:textId="5963466A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YinYangHouse</w:t>
      </w:r>
      <w:proofErr w:type="spellEnd"/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. Dang Shen (</w:t>
      </w:r>
      <w:proofErr w:type="spellStart"/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Codonopsis</w:t>
      </w:r>
      <w:proofErr w:type="spellEnd"/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Root)</w:t>
      </w:r>
      <w:r w:rsidR="00567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 </w:t>
      </w: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TCM Materia Medica indications and dosing. Accessed 2025.</w:t>
      </w:r>
    </w:p>
    <w:p w14:paraId="06B7A483" w14:textId="092A5B49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Chu R, et al. Advancements in the investigation of chemical components of Codonopsis pilosula (saponins, polysaccharides, inulin). 2024. (PMC11466214)</w:t>
      </w:r>
    </w:p>
    <w:p w14:paraId="4E2EF1FB" w14:textId="6EFB249C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ClinicalTrials.gov. A Trial of Shengmai Liquid for Long COVID Fatigue (NCT06980636). Accessed 2025.</w:t>
      </w:r>
    </w:p>
    <w:p w14:paraId="7A061374" w14:textId="58C9185A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Cao L, et al. Codonopsis pilosula polysaccharides improved spleen‑deficiency syndrome via microbiota &amp; metabolomics. Frontiers in Pharmacology. 2022.</w:t>
      </w:r>
    </w:p>
    <w:p w14:paraId="56255136" w14:textId="7CE49470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Li J‑Y, et al. Immunomodulatory actions of tonifying polysaccharides: mechanisms and applications. 2025.</w:t>
      </w:r>
    </w:p>
    <w:p w14:paraId="70A9590F" w14:textId="7566099B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He R, et al. Network pharmacology unveils spleen‑fortifying effect of Dangshen. 2020.</w:t>
      </w:r>
    </w:p>
    <w:p w14:paraId="2BCA897D" w14:textId="0DF3EDCC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He J‑Y, et al. The genus Codonopsis: phytochemistry, pharmacology, and chemical taxonomy (review). 2014.</w:t>
      </w:r>
    </w:p>
    <w:p w14:paraId="14094F9D" w14:textId="3DF4468C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Xiao Z, et al. Jianpishengsui for chemotherapy‑induced anemia: efficacy and safety. 2020.</w:t>
      </w:r>
    </w:p>
    <w:p w14:paraId="443FED49" w14:textId="14E988C9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Pei S, et al. Unraveling the constituents, absorption, metabolism and PK of Codonopsis pilosula. 2024.</w:t>
      </w:r>
    </w:p>
    <w:p w14:paraId="637EECA6" w14:textId="6B07313D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Fan Y, et al. Regulatory effects of alkali‑extracted Codonopsis pilosula polysaccharides on immune function (preclinical). 2025.</w:t>
      </w:r>
    </w:p>
    <w:p w14:paraId="1749820F" w14:textId="60F54A36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Long Y, et al. Immunoregulatory effects of CPP‑SeNPs complex (anti‑tumor via immune enhancement). Foods. 2024.</w:t>
      </w:r>
    </w:p>
    <w:p w14:paraId="7A0F468C" w14:textId="1A48001D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Shi Q, et al. Codonopsis Radix: biological activities and applications (review). 2024.</w:t>
      </w:r>
    </w:p>
    <w:p w14:paraId="3712658A" w14:textId="73163B79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Dong J, et al. Botany, ethnopharmacology and chemistry of Codonopsis pilosula (review). Frontiers in Pharmacology. 2023.</w:t>
      </w:r>
    </w:p>
    <w:p w14:paraId="57CE4290" w14:textId="17E35AF8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Liang W, et al. Resource utilisation &amp; pharmacology of Codonopsis Radix: GI &amp; immune support overview. 2024.</w:t>
      </w:r>
    </w:p>
    <w:p w14:paraId="1EDC6994" w14:textId="747E8B98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Zhao Q, et al. Specific inulin from Codonopsis pilosula exerts immunological enhancement (J Agric Food Chem). 2025.</w:t>
      </w:r>
    </w:p>
    <w:p w14:paraId="08CB0F63" w14:textId="0F6DAB70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MedicineTraditions</w:t>
      </w:r>
      <w:proofErr w:type="spellEnd"/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. Codonopsis (Dang Shen) profile: neutral, sweet; indications and notes. Accessed 2025.</w:t>
      </w:r>
    </w:p>
    <w:p w14:paraId="7119FA6A" w14:textId="09E10797" w:rsidR="003A422C" w:rsidRPr="006D2885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885">
        <w:rPr>
          <w:rFonts w:ascii="Times New Roman" w:hAnsi="Times New Roman" w:cs="Times New Roman"/>
          <w:color w:val="000000" w:themeColor="text1"/>
          <w:sz w:val="24"/>
          <w:szCs w:val="24"/>
        </w:rPr>
        <w:t>Stefanovic J. The substitution of Ren Shen by Dang Shen (overview). 2002.</w:t>
      </w:r>
    </w:p>
    <w:sectPr w:rsidR="003A422C" w:rsidRPr="006D28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3960197">
    <w:abstractNumId w:val="8"/>
  </w:num>
  <w:num w:numId="2" w16cid:durableId="1272665321">
    <w:abstractNumId w:val="6"/>
  </w:num>
  <w:num w:numId="3" w16cid:durableId="663900991">
    <w:abstractNumId w:val="5"/>
  </w:num>
  <w:num w:numId="4" w16cid:durableId="251741554">
    <w:abstractNumId w:val="4"/>
  </w:num>
  <w:num w:numId="5" w16cid:durableId="687830216">
    <w:abstractNumId w:val="7"/>
  </w:num>
  <w:num w:numId="6" w16cid:durableId="733746258">
    <w:abstractNumId w:val="3"/>
  </w:num>
  <w:num w:numId="7" w16cid:durableId="1807968236">
    <w:abstractNumId w:val="2"/>
  </w:num>
  <w:num w:numId="8" w16cid:durableId="1948536246">
    <w:abstractNumId w:val="1"/>
  </w:num>
  <w:num w:numId="9" w16cid:durableId="55752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422C"/>
    <w:rsid w:val="00567A52"/>
    <w:rsid w:val="006D2885"/>
    <w:rsid w:val="006E2D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0C90E2"/>
  <w14:defaultImageDpi w14:val="300"/>
  <w15:docId w15:val="{03DC6C12-D032-9149-AAD9-2C0A88A3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Jing Liu</cp:lastModifiedBy>
  <cp:revision>2</cp:revision>
  <dcterms:created xsi:type="dcterms:W3CDTF">2025-09-02T06:29:00Z</dcterms:created>
  <dcterms:modified xsi:type="dcterms:W3CDTF">2025-09-02T06:29:00Z</dcterms:modified>
  <cp:category/>
</cp:coreProperties>
</file>