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801F" w14:textId="77777777" w:rsidR="001C3A72" w:rsidRPr="006557C2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557C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Cocklebur Fruit (Cang Er Zi, Fructus Xanthii): Uses, Benefits, Dosage, Safety &amp; TCM Perspective</w:t>
      </w:r>
    </w:p>
    <w:p w14:paraId="4AD2FC8E" w14:textId="77777777" w:rsidR="001C3A72" w:rsidRPr="00237B1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237B18">
        <w:rPr>
          <w:rFonts w:ascii="Times New Roman" w:hAnsi="Times New Roman" w:cs="Times New Roman"/>
          <w:color w:val="000000" w:themeColor="text1"/>
        </w:rPr>
        <w:t>What it is</w:t>
      </w:r>
    </w:p>
    <w:p w14:paraId="1B2F9E84" w14:textId="699DBCE3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Cocklebur Fruit (Cang Er Zi) is the dried, properly processed fruit of Xanthium spp. (primarily X. sibiricum; X. strumarium also reported). In TCM it disperses Wind, opens the nasal passages, and alleviates pain/itching, making it a core herb for acute rhinitis/rhinosinusitis patterns [1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2]. Modern research highlights sesquiterpene lactones (e.g., xanthatin) with anti‑inflammatory actions and diterpenoid glycosides (</w:t>
      </w:r>
      <w:proofErr w:type="spellStart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carboxyatractyloside</w:t>
      </w:r>
      <w:proofErr w:type="spellEnd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atractyloside</w:t>
      </w:r>
      <w:proofErr w:type="spellEnd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) responsible for toxicity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levels are lowered by proper processing [5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7].</w:t>
      </w:r>
    </w:p>
    <w:p w14:paraId="0CE0FA02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6557C2">
        <w:rPr>
          <w:rFonts w:ascii="Times New Roman" w:hAnsi="Times New Roman" w:cs="Times New Roman"/>
          <w:color w:val="000000" w:themeColor="text1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554"/>
      </w:tblGrid>
      <w:tr w:rsidR="006557C2" w:rsidRPr="006557C2" w14:paraId="76205541" w14:textId="77777777" w:rsidTr="006557C2">
        <w:tc>
          <w:tcPr>
            <w:tcW w:w="3078" w:type="dxa"/>
          </w:tcPr>
          <w:p w14:paraId="2DE3E037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562" w:type="dxa"/>
          </w:tcPr>
          <w:p w14:paraId="1A1D6E62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Cocklebur Fruit; Xanthium Fruit</w:t>
            </w:r>
          </w:p>
        </w:tc>
      </w:tr>
      <w:tr w:rsidR="006557C2" w:rsidRPr="006557C2" w14:paraId="1DB17E86" w14:textId="77777777" w:rsidTr="006557C2">
        <w:tc>
          <w:tcPr>
            <w:tcW w:w="3078" w:type="dxa"/>
          </w:tcPr>
          <w:p w14:paraId="51738C88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5562" w:type="dxa"/>
          </w:tcPr>
          <w:p w14:paraId="58E3293A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Fructus Xanthii (Cang Er Zi)</w:t>
            </w:r>
          </w:p>
        </w:tc>
      </w:tr>
      <w:tr w:rsidR="006557C2" w:rsidRPr="006557C2" w14:paraId="363E8AB1" w14:textId="77777777" w:rsidTr="006557C2">
        <w:tc>
          <w:tcPr>
            <w:tcW w:w="3078" w:type="dxa"/>
          </w:tcPr>
          <w:p w14:paraId="3D4F9619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562" w:type="dxa"/>
          </w:tcPr>
          <w:p w14:paraId="313E187F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Cang Er Zi; Xanthium Fruit; Cocklebur</w:t>
            </w:r>
          </w:p>
        </w:tc>
      </w:tr>
      <w:tr w:rsidR="006557C2" w:rsidRPr="006557C2" w14:paraId="4DEFA41E" w14:textId="77777777" w:rsidTr="006557C2">
        <w:tc>
          <w:tcPr>
            <w:tcW w:w="3078" w:type="dxa"/>
          </w:tcPr>
          <w:p w14:paraId="185B77E1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category/channels</w:t>
            </w:r>
          </w:p>
        </w:tc>
        <w:tc>
          <w:tcPr>
            <w:tcW w:w="5562" w:type="dxa"/>
          </w:tcPr>
          <w:p w14:paraId="0812A279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Warm‑acrid herb that releases the exterior and opens the nose; dispels Wind‑Damp; enters Lung (some sources add Liver) [1–2].</w:t>
            </w:r>
          </w:p>
        </w:tc>
      </w:tr>
      <w:tr w:rsidR="006557C2" w:rsidRPr="006557C2" w14:paraId="77641226" w14:textId="77777777" w:rsidTr="006557C2">
        <w:tc>
          <w:tcPr>
            <w:tcW w:w="3078" w:type="dxa"/>
          </w:tcPr>
          <w:p w14:paraId="7D77FA85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562" w:type="dxa"/>
          </w:tcPr>
          <w:p w14:paraId="7ED2C888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Warm; bitter, acrid (some sources list slightly sweet); slightly toxic—must be processed [2].</w:t>
            </w:r>
          </w:p>
        </w:tc>
      </w:tr>
      <w:tr w:rsidR="006557C2" w:rsidRPr="006557C2" w14:paraId="747C4C85" w14:textId="77777777" w:rsidTr="006557C2">
        <w:tc>
          <w:tcPr>
            <w:tcW w:w="3078" w:type="dxa"/>
          </w:tcPr>
          <w:p w14:paraId="551928AD" w14:textId="77777777" w:rsidR="001C3A72" w:rsidRPr="006557C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Primary species</w:t>
            </w:r>
          </w:p>
        </w:tc>
        <w:tc>
          <w:tcPr>
            <w:tcW w:w="5562" w:type="dxa"/>
          </w:tcPr>
          <w:p w14:paraId="413A4BD7" w14:textId="77777777" w:rsidR="001C3A72" w:rsidRPr="006557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Xanthium sibiricum Patrin ex Widder; Xanthium strumarium L. [1–2].</w:t>
            </w:r>
          </w:p>
        </w:tc>
      </w:tr>
    </w:tbl>
    <w:p w14:paraId="5F908D37" w14:textId="77777777" w:rsidR="001C3A72" w:rsidRPr="006557C2" w:rsidRDefault="001C3A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65D68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6557C2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08BA443D" w14:textId="57ACBB1C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• Sesquiterpene lactones (e.g., xanthatin) → anti‑inflammatory effects via NF‑κB/MAPK/STAT modulation; additional antimicrobial/antitumor signals (preclinical) [5,8].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Diterpenoid glycosides (carboxyatractyloside, atractyloside) → mitochondrial ADP/ATP carrier inhibition underpinning hepatotoxicity/systemic toxicity; processing reduces these toxins [6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7].</w:t>
      </w:r>
    </w:p>
    <w:p w14:paraId="6CD88963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6557C2">
        <w:rPr>
          <w:rFonts w:ascii="Times New Roman" w:hAnsi="Times New Roman" w:cs="Times New Roman"/>
          <w:color w:val="000000" w:themeColor="text1"/>
        </w:rPr>
        <w:t>Evidence‑supported directions (clinical &amp; preclinical)</w:t>
      </w:r>
    </w:p>
    <w:p w14:paraId="4A1B81C4" w14:textId="77777777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Allergic rhinitis / rhinosinusitis</w:t>
      </w:r>
    </w:p>
    <w:p w14:paraId="1C4E1E23" w14:textId="77777777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Classic formula Cang‑Er‑Zi‑San (Xanthium Powder) and its modifications show benefit for rhinitis/sinusitis at the formula level. A 2024 meta‑analysis in children reported better symptom control vs. conventional therapy with acceptable safety (heterogeneity noted) 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[3]. A randomized trial of Shi‑Bi‑Lin (a modified Cang‑Er‑Zi‑San) in perennial allergic rhinitis demonstrated symptom improvement vs. placebo [4]. Mechanistically, extracts inhibit TLR4‑NF‑κB‑driven inflammation and reduce mucosal cytokines in AR models; xanthatin suppresses NF‑κB/MAPK/STAT signaling [5].</w:t>
      </w:r>
    </w:p>
    <w:p w14:paraId="7BE6E7B3" w14:textId="77777777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Headache, wind‑damp obstruction, pruritic skin</w:t>
      </w:r>
    </w:p>
    <w:p w14:paraId="6453A6B3" w14:textId="5D382B48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Traditional indications include wind‑cold headache, bi‑pain, and itching. Modern evidence beyond anti‑inflammatory/antimicrobial signals remains limited, so use within a pattern‑based formula rather than as single‑herb monotherapy [1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14:paraId="782F17C9" w14:textId="34ED8A20" w:rsidR="001C3A72" w:rsidRPr="006557C2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Bottom line: The best‑supported modern application is adjunctive care for acute rhinitis/rhinosinusitis within formulas; most clinical trials are at the formula (not single‑herb) level [3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4].</w:t>
      </w:r>
    </w:p>
    <w:p w14:paraId="41B07667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How to use (TCM + practical)</w:t>
      </w:r>
    </w:p>
    <w:p w14:paraId="29BB14FA" w14:textId="11BFEAFE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Pattern first: wind‑cold/heat invading the nose with congestion, thick discharge, frontal/sinus headache; </w:t>
      </w:r>
      <w:r w:rsidR="006557C2"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also,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wind‑damp pruritus [1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14:paraId="09208035" w14:textId="7C1F1E94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 (processed herb): 3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9 g/day in decoction or granules (short courses for acute presentations). Use only properly processed (e.g., dry‑fried) material to reduce toxicity; avoid raw/unprocessed spikes [2,7,10].</w:t>
      </w:r>
    </w:p>
    <w:p w14:paraId="3EE32C5F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Follow labeled dosing for patent medicines/extracts; professional supervision is advised in pediatrics despite supportive meta‑analysis [3].</w:t>
      </w:r>
    </w:p>
    <w:p w14:paraId="2C2A1E6A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Synergy &amp; “Steady‑State Quartet” counter‑balance (examples)</w:t>
      </w:r>
    </w:p>
    <w:p w14:paraId="66DDA38B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Acute wind‑heat rhinitis/sinus pressure: Cang Er Zi + Xin Yi Hua (open nose) + Bai Zhi (frontal headache) + Bo He (disperse wind‑heat) → mirrors classic Cang‑Er‑Zi‑San framework [1,9].</w:t>
      </w:r>
    </w:p>
    <w:p w14:paraId="5FD7FFEF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Phlegm‑heat sinusitis (thick/yellow): Cang Er Zi + Huang Qin/Lian Qiao (clear heat) + Ban Xia/Chen Pi (transform phlegm) to balance warmth/drying.</w:t>
      </w:r>
    </w:p>
    <w:p w14:paraId="7C825800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Wind‑damp pruritus: Cang Er Zi + Jing Jie/Fang Feng (disperse wind) + Di Fu Zi (itch).</w:t>
      </w:r>
    </w:p>
    <w:p w14:paraId="2F76F296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interactions, quality</w:t>
      </w:r>
    </w:p>
    <w:p w14:paraId="01451E44" w14:textId="3C89E214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Toxicity is the key concern: carboxyatractyloside/atractyloside can cause hepatic/renal injury; processing method/temperature strongly affect toxin content [6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7].</w:t>
      </w:r>
    </w:p>
    <w:p w14:paraId="53A6CBE7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Avoid/use with caution: pregnancy, liver disease, yin/blood deficiency with dryness, or bleeding tendency; pediatric use only with professional formulas and monitoring [3].</w:t>
      </w:r>
    </w:p>
    <w:p w14:paraId="40E93569" w14:textId="132E70EF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Adverse effects (overuse/raw): nausea, vomiting, dizziness, hepatotoxicity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seek care if jaundice/abdominal pain occurs [6</w:t>
      </w:r>
      <w:r w:rsidR="006557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7].</w:t>
      </w:r>
    </w:p>
    <w:p w14:paraId="4DB2CFF1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Quality: Source from GMP suppliers with documented processing and, where available, CAT/ATR testing to verify toxin reduction [7,10].</w:t>
      </w:r>
    </w:p>
    <w:p w14:paraId="5FE01F60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34208303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Best for acute nasal congestion/rhinitis within a formula; opens the nose and relieves sinus headache.</w:t>
      </w:r>
    </w:p>
    <w:p w14:paraId="5E4EDB76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Always processed; short course; pair with herbs that clear heat/transform phlegm when needed.</w:t>
      </w:r>
    </w:p>
    <w:p w14:paraId="124621C0" w14:textId="77777777" w:rsidR="001C3A72" w:rsidRPr="006557C2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Respect toxicity: dose conservatively and consider liver monitoring in vulnerable patients.</w:t>
      </w:r>
    </w:p>
    <w:p w14:paraId="27897B19" w14:textId="77777777" w:rsidR="001C3A72" w:rsidRPr="006557C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60443856" w14:textId="5FB4536C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Fan W, et al. Xanthium strumarium: traditional uses, phytochemistry &amp; pharmacology. Frontiers in Pharmacology. 2019.</w:t>
      </w:r>
    </w:p>
    <w:p w14:paraId="3432154F" w14:textId="1A4F4F3A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Jiang H, et al. The fruits of Xanthium sibiricum: phytochemistry, pharmacology, toxicology. World Journal of Traditional Chinese Medicine. 2020.</w:t>
      </w:r>
    </w:p>
    <w:p w14:paraId="006837EB" w14:textId="157FA6E0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Zeng Q, et al. Cang‑Er‑Zi‑San for pediatric allergic rhinitis: systematic review and meta‑analysis. Medicine (Baltimore). 2024.</w:t>
      </w:r>
    </w:p>
    <w:p w14:paraId="3935D909" w14:textId="444C9C4F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Zhao Y, et al. Shi‑Bi‑Lin (modified Cang‑Er‑Zi‑San) in perennial allergic rhinitis: randomized, double‑blind, placebo‑controlled trial. Journal of Ethnopharmacology. 2009.</w:t>
      </w:r>
    </w:p>
    <w:p w14:paraId="61D3FD9E" w14:textId="61D2437F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Liu Y, et al. Xanthatin alleviates LPS‑induced inflammation via NF‑κB/MAPK/STAT down‑regulation. International Journal of Molecular Sciences. 2022.</w:t>
      </w:r>
    </w:p>
    <w:p w14:paraId="1CB58C57" w14:textId="4A35F388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Woyda‑Płoszczyca</w:t>
      </w:r>
      <w:proofErr w:type="spellEnd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et al. Direct/indirect targets of carboxyatractyloside/atractyloside and mitochondrial toxicity. International Journal of Molecular Sciences. 2023.</w:t>
      </w:r>
    </w:p>
    <w:p w14:paraId="7BD59555" w14:textId="4CF92018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Nikles S, et al. Processing lowers carboxyatractyloside/atractyloside in Xanthium fruits. Planta Medica. 2015.</w:t>
      </w:r>
    </w:p>
    <w:p w14:paraId="4BCED2C4" w14:textId="4076CCDD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Xu H, et al. Xanthatin: a comprehensive pharmacological review. Pharmacology Research. 2025.</w:t>
      </w:r>
    </w:p>
    <w:p w14:paraId="587890D4" w14:textId="7752D276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Mayway</w:t>
      </w:r>
      <w:proofErr w:type="spellEnd"/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. Cang‑Er‑Zi‑San clinical tradition summary for wind‑heat sinus patterns. 2021.</w:t>
      </w:r>
    </w:p>
    <w:p w14:paraId="2458F6E0" w14:textId="38FF6DC3" w:rsidR="001C3A72" w:rsidRPr="006557C2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2">
        <w:rPr>
          <w:rFonts w:ascii="Times New Roman" w:hAnsi="Times New Roman" w:cs="Times New Roman"/>
          <w:color w:val="000000" w:themeColor="text1"/>
          <w:sz w:val="24"/>
          <w:szCs w:val="24"/>
        </w:rPr>
        <w:t>Kamwo Herb Guide. Cang Er Zi: processing (dry‑fry), actions, indications.</w:t>
      </w:r>
    </w:p>
    <w:sectPr w:rsidR="001C3A72" w:rsidRPr="006557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189604">
    <w:abstractNumId w:val="8"/>
  </w:num>
  <w:num w:numId="2" w16cid:durableId="1552811683">
    <w:abstractNumId w:val="6"/>
  </w:num>
  <w:num w:numId="3" w16cid:durableId="1646735159">
    <w:abstractNumId w:val="5"/>
  </w:num>
  <w:num w:numId="4" w16cid:durableId="1544295633">
    <w:abstractNumId w:val="4"/>
  </w:num>
  <w:num w:numId="5" w16cid:durableId="1828591226">
    <w:abstractNumId w:val="7"/>
  </w:num>
  <w:num w:numId="6" w16cid:durableId="249317326">
    <w:abstractNumId w:val="3"/>
  </w:num>
  <w:num w:numId="7" w16cid:durableId="596904608">
    <w:abstractNumId w:val="2"/>
  </w:num>
  <w:num w:numId="8" w16cid:durableId="1131745942">
    <w:abstractNumId w:val="1"/>
  </w:num>
  <w:num w:numId="9" w16cid:durableId="205056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A72"/>
    <w:rsid w:val="00237B18"/>
    <w:rsid w:val="0029639D"/>
    <w:rsid w:val="00326F90"/>
    <w:rsid w:val="006557C2"/>
    <w:rsid w:val="006E2DF3"/>
    <w:rsid w:val="00AA1D8D"/>
    <w:rsid w:val="00B47730"/>
    <w:rsid w:val="00CB0664"/>
    <w:rsid w:val="00E92F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370FA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3</cp:revision>
  <dcterms:created xsi:type="dcterms:W3CDTF">2025-09-02T04:35:00Z</dcterms:created>
  <dcterms:modified xsi:type="dcterms:W3CDTF">2025-09-02T07:52:00Z</dcterms:modified>
  <cp:category/>
</cp:coreProperties>
</file>