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A659" w14:textId="77777777" w:rsidR="000654A8" w:rsidRPr="00BC3AFC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C3AF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Broomrape Stem (Cistanche): Uses, Benefits, Dosage, Safety &amp; TCM Perspective</w:t>
      </w:r>
    </w:p>
    <w:p w14:paraId="264F8DAF" w14:textId="77777777" w:rsidR="000654A8" w:rsidRPr="001134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11343C">
        <w:rPr>
          <w:rFonts w:ascii="Times New Roman" w:hAnsi="Times New Roman" w:cs="Times New Roman"/>
          <w:color w:val="000000" w:themeColor="text1"/>
        </w:rPr>
        <w:t>What it is</w:t>
      </w:r>
    </w:p>
    <w:p w14:paraId="54FB34E3" w14:textId="2AB4F0D7" w:rsidR="000654A8" w:rsidRPr="00BC3AFC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Cistanche (Rou Cong Rong) is a parasitic desert herb (Orobanchaceae) traditionally used to warm Kidney yang, nourish Essence/Blood, and moisten the intestines. Modern work highlights phenylethanoid glycosides (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PhGs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13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notably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echinacoside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acteoside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verbascoside</w:t>
      </w:r>
      <w:proofErr w:type="spellEnd"/>
      <w:r w:rsidR="00113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plus polysaccharides as key bioactives linked to antioxidant, neuroprotective, gut-motility and endothelial effects [1</w:t>
      </w:r>
      <w:r w:rsidR="001134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2,11].</w:t>
      </w:r>
    </w:p>
    <w:p w14:paraId="4428B8CA" w14:textId="77777777" w:rsidR="000654A8" w:rsidRPr="001134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11343C">
        <w:rPr>
          <w:rFonts w:ascii="Times New Roman" w:hAnsi="Times New Roman" w:cs="Times New Roman"/>
          <w:color w:val="000000" w:themeColor="text1"/>
        </w:rPr>
        <w:t>Identity &amp; Taxonomy (Quick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5752"/>
      </w:tblGrid>
      <w:tr w:rsidR="00BC3AFC" w:rsidRPr="00BC3AFC" w14:paraId="2E342D60" w14:textId="77777777">
        <w:tc>
          <w:tcPr>
            <w:tcW w:w="2880" w:type="dxa"/>
          </w:tcPr>
          <w:p w14:paraId="6945EC6E" w14:textId="77777777" w:rsidR="000654A8" w:rsidRPr="0011343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4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</w:t>
            </w:r>
          </w:p>
        </w:tc>
        <w:tc>
          <w:tcPr>
            <w:tcW w:w="5760" w:type="dxa"/>
          </w:tcPr>
          <w:p w14:paraId="3A8C2A01" w14:textId="77777777" w:rsidR="000654A8" w:rsidRPr="00BC3AF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Cistanche; Desert Broomrape; Broomrape stem</w:t>
            </w:r>
          </w:p>
        </w:tc>
      </w:tr>
      <w:tr w:rsidR="00BC3AFC" w:rsidRPr="00BC3AFC" w14:paraId="7CE80E3E" w14:textId="77777777">
        <w:tc>
          <w:tcPr>
            <w:tcW w:w="2880" w:type="dxa"/>
          </w:tcPr>
          <w:p w14:paraId="22BD7A84" w14:textId="77777777" w:rsidR="000654A8" w:rsidRPr="0011343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4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 name</w:t>
            </w:r>
          </w:p>
        </w:tc>
        <w:tc>
          <w:tcPr>
            <w:tcW w:w="5760" w:type="dxa"/>
          </w:tcPr>
          <w:p w14:paraId="5A11EE19" w14:textId="77777777" w:rsidR="000654A8" w:rsidRPr="00BC3AF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Herba Cistanches (Stem)</w:t>
            </w:r>
          </w:p>
        </w:tc>
      </w:tr>
      <w:tr w:rsidR="00BC3AFC" w:rsidRPr="00BC3AFC" w14:paraId="5135F454" w14:textId="77777777">
        <w:tc>
          <w:tcPr>
            <w:tcW w:w="2880" w:type="dxa"/>
          </w:tcPr>
          <w:p w14:paraId="6D776691" w14:textId="77777777" w:rsidR="000654A8" w:rsidRPr="0011343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4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 (TCM)</w:t>
            </w:r>
          </w:p>
        </w:tc>
        <w:tc>
          <w:tcPr>
            <w:tcW w:w="5760" w:type="dxa"/>
          </w:tcPr>
          <w:p w14:paraId="18A6C73B" w14:textId="77777777" w:rsidR="000654A8" w:rsidRPr="00BC3AF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Rou Cong Rong</w:t>
            </w:r>
          </w:p>
        </w:tc>
      </w:tr>
      <w:tr w:rsidR="00BC3AFC" w:rsidRPr="00BC3AFC" w14:paraId="716AA379" w14:textId="77777777">
        <w:tc>
          <w:tcPr>
            <w:tcW w:w="2880" w:type="dxa"/>
          </w:tcPr>
          <w:p w14:paraId="1DEB28D0" w14:textId="77777777" w:rsidR="000654A8" w:rsidRPr="0011343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4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 / channels</w:t>
            </w:r>
          </w:p>
        </w:tc>
        <w:tc>
          <w:tcPr>
            <w:tcW w:w="5760" w:type="dxa"/>
          </w:tcPr>
          <w:p w14:paraId="6189756C" w14:textId="77777777" w:rsidR="000654A8" w:rsidRPr="00BC3AF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Warms Kidney yang, moistens intestines (Kidney, Large Intestine)</w:t>
            </w:r>
          </w:p>
        </w:tc>
      </w:tr>
      <w:tr w:rsidR="00BC3AFC" w:rsidRPr="00BC3AFC" w14:paraId="58DADA94" w14:textId="77777777">
        <w:tc>
          <w:tcPr>
            <w:tcW w:w="2880" w:type="dxa"/>
          </w:tcPr>
          <w:p w14:paraId="230E40BC" w14:textId="77777777" w:rsidR="000654A8" w:rsidRPr="0011343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4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 &amp; taste</w:t>
            </w:r>
          </w:p>
        </w:tc>
        <w:tc>
          <w:tcPr>
            <w:tcW w:w="5760" w:type="dxa"/>
          </w:tcPr>
          <w:p w14:paraId="74D635CC" w14:textId="77777777" w:rsidR="000654A8" w:rsidRPr="00BC3AF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Warm; sweet, slightly salty</w:t>
            </w:r>
          </w:p>
        </w:tc>
      </w:tr>
      <w:tr w:rsidR="00BC3AFC" w:rsidRPr="00BC3AFC" w14:paraId="32643FD5" w14:textId="77777777">
        <w:tc>
          <w:tcPr>
            <w:tcW w:w="2880" w:type="dxa"/>
          </w:tcPr>
          <w:p w14:paraId="5F004930" w14:textId="77777777" w:rsidR="000654A8" w:rsidRPr="0011343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4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Organ/function focus</w:t>
            </w:r>
          </w:p>
        </w:tc>
        <w:tc>
          <w:tcPr>
            <w:tcW w:w="5760" w:type="dxa"/>
          </w:tcPr>
          <w:p w14:paraId="2904A615" w14:textId="77777777" w:rsidR="000654A8" w:rsidRPr="00BC3AF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Kidney yang • Essence/Blood • Bowel moisture/motility</w:t>
            </w:r>
          </w:p>
        </w:tc>
      </w:tr>
      <w:tr w:rsidR="00BC3AFC" w:rsidRPr="00BC3AFC" w14:paraId="504F7A0A" w14:textId="77777777">
        <w:tc>
          <w:tcPr>
            <w:tcW w:w="2880" w:type="dxa"/>
          </w:tcPr>
          <w:p w14:paraId="4AF19DCD" w14:textId="77777777" w:rsidR="000654A8" w:rsidRPr="0011343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4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Scientific species</w:t>
            </w:r>
          </w:p>
        </w:tc>
        <w:tc>
          <w:tcPr>
            <w:tcW w:w="5760" w:type="dxa"/>
          </w:tcPr>
          <w:p w14:paraId="323FAFFE" w14:textId="05783336" w:rsidR="000654A8" w:rsidRPr="00BC3AF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Cistanche deserticola Y.</w:t>
            </w:r>
            <w:proofErr w:type="gramStart"/>
            <w:r w:rsidRPr="00BC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C.Ma</w:t>
            </w:r>
            <w:proofErr w:type="gramEnd"/>
            <w:r w:rsidRPr="00BC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Cistanche tubulosa (Schenk) Wight (Orobanchaceae) [1</w:t>
            </w:r>
            <w:r w:rsidR="00113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C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2]</w:t>
            </w:r>
          </w:p>
        </w:tc>
      </w:tr>
    </w:tbl>
    <w:p w14:paraId="1409B883" w14:textId="77777777" w:rsidR="000654A8" w:rsidRPr="00BC3AFC" w:rsidRDefault="000654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F83C20" w14:textId="77777777" w:rsidR="000654A8" w:rsidRPr="00BC3AFC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Key constituents (why it works)</w:t>
      </w:r>
    </w:p>
    <w:p w14:paraId="75277CDA" w14:textId="1E11F108" w:rsidR="000654A8" w:rsidRPr="00BC3AFC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Dominant PhGs (echinacoside, acteoside/verbascoside), plus polysaccharides and minor lignans/sterols. These interact with redox/inflammatory signaling, neurotrophic &amp; synaptic plasticity pathways, endothelial NO, and enteric motility/secretory mechanisms [1</w:t>
      </w:r>
      <w:r w:rsidR="001134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2,11].</w:t>
      </w:r>
    </w:p>
    <w:p w14:paraId="06EDA040" w14:textId="77777777" w:rsidR="000654A8" w:rsidRPr="00BC3AFC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Evidence-supported directions (clinical &amp; preclinical)</w:t>
      </w:r>
    </w:p>
    <w:p w14:paraId="65295DB0" w14:textId="77777777" w:rsidR="000654A8" w:rsidRPr="00BC3AFC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Sexual vitality &amp; reproductive axis (adjunctive)</w:t>
      </w:r>
    </w:p>
    <w:p w14:paraId="7EFC09BE" w14:textId="77777777" w:rsidR="000654A8" w:rsidRPr="00BC3AFC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Traditional use covers low libido/ED and subfertility within Kidney-yang/Essence deficiency patterns. Preclinical data suggest PhG-rich extracts may support androgenic/steroidogenic pathways and reproductive indices in animals; human data remain preliminary and should be framed as supportive, not substitutive for standard care [3,10].</w:t>
      </w:r>
    </w:p>
    <w:p w14:paraId="260EB1F0" w14:textId="77777777" w:rsidR="000654A8" w:rsidRPr="00BC3AFC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 Anti-fatigue &amp; functional capacity</w:t>
      </w:r>
    </w:p>
    <w:p w14:paraId="1CCD1E07" w14:textId="243D549C" w:rsidR="000654A8" w:rsidRPr="00BC3AFC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randomized, double-blind, placebo-controlled study in adults with CFS found a Cistanche + Ginkgo product improved fatigue scores vs. placebo over 60 days [4,7]. In older adults with locomotive syndrome, Cistanche tubulosa extract helped prevent decline in walking ability without notable adverse effects [6]. Mechanistic work implicates mitochondrial and HIF-1α</w:t>
      </w:r>
      <w:r w:rsidR="00E51F0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linked pathways (acteoside) in anti-fatigue effects [12].</w:t>
      </w:r>
    </w:p>
    <w:p w14:paraId="0405C438" w14:textId="77777777" w:rsidR="000654A8" w:rsidRPr="00BC3AFC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 Cognition &amp; neuroprotection (early stage)</w:t>
      </w:r>
    </w:p>
    <w:p w14:paraId="6C454B5E" w14:textId="62A160CA" w:rsidR="000654A8" w:rsidRPr="00BC3AFC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Echinacoside demonstrates multi-target neuroprotective actions (oxidative stress, neuroinflammation, apoptosis, mitochondrial dysfunction) in preclinical models of Alzheimer’s, Parkinson’s, and mood disorders; small open-label human data with Cistanche glycosides in dementia exist but are methodologically limited [5,8</w:t>
      </w:r>
      <w:r w:rsidR="001134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9,13</w:t>
      </w:r>
      <w:r w:rsidR="001134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14]. Frame as promising but preliminary.</w:t>
      </w:r>
    </w:p>
    <w:p w14:paraId="396949BD" w14:textId="77777777" w:rsidR="000654A8" w:rsidRPr="00BC3AFC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4) Bowel motility &amp; constipation (moistening)</w:t>
      </w:r>
    </w:p>
    <w:p w14:paraId="173EA36A" w14:textId="1D62BB12" w:rsidR="000654A8" w:rsidRPr="00BC3AFC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Traditional “moisten the intestines” use is supported by multiple animal and mechanistic studies: Cistanche deserticola polysaccharides modulated microbiota, metabolites, bile acids, mucosal barrier and enteric neurons, improving experimental constipation; emerging 2024</w:t>
      </w:r>
      <w:r w:rsidR="001134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2025 data deepen these mechanisms [11,15</w:t>
      </w:r>
      <w:r w:rsidR="001134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16]. In practice, best suited to dryness/deficiency-type constipation, not heat-bind patterns [1</w:t>
      </w:r>
      <w:r w:rsidR="001134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2].</w:t>
      </w:r>
    </w:p>
    <w:p w14:paraId="590FE57C" w14:textId="77777777" w:rsidR="000654A8" w:rsidRPr="00BC3AFC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Bottom line: Cistanche is most credible today as an adjunct for vitality/anti-fatigue and deficiency-type constipation, with early signals in cognition/neuroprotection. Reproductive benefits are traditional with preclinical support; robust human trials are limited so counsel accordingly.</w:t>
      </w:r>
    </w:p>
    <w:p w14:paraId="10457F63" w14:textId="70AFCD17" w:rsidR="000654A8" w:rsidRPr="00BC3AFC" w:rsidRDefault="0011343C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Reproductive Health (Adjunctive Evidence &amp; TCM Patterning)</w:t>
      </w:r>
    </w:p>
    <w:p w14:paraId="5534BF3F" w14:textId="77777777" w:rsidR="000654A8" w:rsidRPr="00BC3AF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Summary: Cistanche (Rou Cong Rong) is traditionally used to tonify Kidney yang and nourish Essence; modern preclinical and early clinical data suggest supportive roles in male reproductive function and sexual vitality. Use as an adjunct within individualized TCM formulas rather than as a stand‑alone replacement for standard care.</w:t>
      </w:r>
    </w:p>
    <w:p w14:paraId="6399BC43" w14:textId="016953BF" w:rsidR="000654A8" w:rsidRPr="00BC3AF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Male infertility/sexual function Signals: Phenylethanoid glycosides from C. tubulosa promoted reproductive function via steroidogenic pathways in mice [17]; in castrated rat ED models, C. deserticola extract shortened erectile latency and prolonged erectile duration, with partial LH normalization [18,21]; recent work on total glycoside capsules reports improved sperm maturation via NELL2 lumicrine pathway in male impairment models (preclinical/early stage) [20].</w:t>
      </w:r>
    </w:p>
    <w:p w14:paraId="1BD83128" w14:textId="66C3200B" w:rsidR="000654A8" w:rsidRPr="00BC3AF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Female infertility Signals: C. deserticola polysaccharides protected against cyclophosphamide‑induced premature ovarian failure in mice, linked to JAK‑STAT modulation [22]; broader TCM/gynecologic reviews note reduced follicular atresia and 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apoptosis via sex hormone regulation and anti‑inflammatory effects in related models [23].</w:t>
      </w:r>
    </w:p>
    <w:p w14:paraId="4FE284B3" w14:textId="77777777" w:rsidR="000654A8" w:rsidRPr="00BC3AF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TCM positioning: placed within Kidney‑yang/Essence deficiency patterns for subfertility, often paired with Epimedium, Eucommia, Lycium/Fructus Ligustri, Cuscuta, etc. Modern reviews synthesize antioxidation, HPT‑axis modulation, microcirculation and NO signaling as plausible mechanisms [19,21].</w:t>
      </w:r>
    </w:p>
    <w:p w14:paraId="4009B792" w14:textId="2E1D074D" w:rsidR="000654A8" w:rsidRPr="00BC3AFC" w:rsidRDefault="0011343C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Anti‑aging Perspective (Healthy Aging Support)</w:t>
      </w:r>
    </w:p>
    <w:p w14:paraId="4FD42F22" w14:textId="5830F012" w:rsidR="000654A8" w:rsidRPr="00BC3AF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Rationale: Phenylethanoid glycosides (echinacoside, acteoside/verbascoside) show antioxidant, anti‑inflammatory, mitochondrial and autophagy‑related actions relevant to healthy aging. Human evidence is preliminary; frame benefits as support for vitality, mobility, cognition, and skin/gut health rather than proven lifespan extension [24</w:t>
      </w:r>
      <w:r w:rsidR="001134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25,28].</w:t>
      </w:r>
    </w:p>
    <w:p w14:paraId="1A21160D" w14:textId="69B8C0E2" w:rsidR="000654A8" w:rsidRPr="00BC3AF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Signals: reviews and pharmacology updates highlight multi‑system effects of Cistanche spp. and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PhGs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[24</w:t>
      </w:r>
      <w:r w:rsidR="001134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25];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echinacoside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attenuates UVB‑induced skin damage and dermal matrix loss in preclinical/early translational data [26]; anti‑glycation activity has been demonstrated with echinacoside formulations [27]; recent work suggests cognition‑supportive mechanisms via microbiota and metabolic remodeling with total glycosides of C. tubulosa [28].</w:t>
      </w:r>
    </w:p>
    <w:p w14:paraId="0257BD61" w14:textId="77777777" w:rsidR="000654A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Clinical stance: present Cistanche as an adjunct for healthy aging goals (energy, mobility, bowel moisture, cognitive support) within a TCM pattern‑based program. Avoid prolonged or high‑dose use in yin‑deficient heat, damp‑predominant diarrhea, or heat‑bind constipation patterns; individualize dosing and monitor tolerance.</w:t>
      </w:r>
    </w:p>
    <w:p w14:paraId="50557564" w14:textId="77777777" w:rsidR="0011343C" w:rsidRPr="00BC3AFC" w:rsidRDefault="0011343C" w:rsidP="0011343C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How to use (TCM + practical)</w:t>
      </w:r>
    </w:p>
    <w:p w14:paraId="79854BC6" w14:textId="77777777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Pattern first. Kidney-yang/Essence deficiency; “fluid-deficient/dry” constipation. Avoid in heat or damp-predominant patterns.</w:t>
      </w:r>
    </w:p>
    <w:p w14:paraId="09B8F1F4" w14:textId="77777777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Form &amp; dose (typical adult ranges):</w:t>
      </w:r>
    </w:p>
    <w:p w14:paraId="1726DD42" w14:textId="175ACE17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• Decoction (cut herb):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15 g/day, divided.</w:t>
      </w:r>
    </w:p>
    <w:p w14:paraId="4902E89F" w14:textId="4195D2D1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• Powder/granules: 1.5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3 g per dose,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2×/day.</w:t>
      </w:r>
    </w:p>
    <w:p w14:paraId="0FA2E5B8" w14:textId="6070B322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• Standardized extract: 300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1200 mg/day (titrate to labeled PhG content).</w:t>
      </w:r>
    </w:p>
    <w:p w14:paraId="77538208" w14:textId="57FDD9B7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• Tincture (1:3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1:5):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4 mL,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2×/day.</w:t>
      </w:r>
    </w:p>
    <w:p w14:paraId="59B063F7" w14:textId="101E83CA" w:rsidR="0011343C" w:rsidRPr="00BC3AFC" w:rsidRDefault="0011343C" w:rsidP="0011343C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Start low; re-assess at 2</w:t>
      </w:r>
      <w:r w:rsidR="008E4D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4 weeks.</w:t>
      </w:r>
    </w:p>
    <w:p w14:paraId="32A71ECD" w14:textId="77777777" w:rsidR="0011343C" w:rsidRDefault="0011343C" w:rsidP="0011343C">
      <w:pPr>
        <w:pStyle w:val="Heading1"/>
        <w:rPr>
          <w:rFonts w:ascii="Times New Roman" w:hAnsi="Times New Roman" w:cs="Times New Roman"/>
          <w:color w:val="000000" w:themeColor="text1"/>
        </w:rPr>
      </w:pPr>
    </w:p>
    <w:p w14:paraId="1A388C7D" w14:textId="3FDA3EC7" w:rsidR="0011343C" w:rsidRPr="0011343C" w:rsidRDefault="0011343C" w:rsidP="0011343C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11343C">
        <w:rPr>
          <w:rFonts w:ascii="Times New Roman" w:hAnsi="Times New Roman" w:cs="Times New Roman"/>
          <w:color w:val="000000" w:themeColor="text1"/>
        </w:rPr>
        <w:t>Safety, interactions, quality</w:t>
      </w:r>
    </w:p>
    <w:p w14:paraId="0672566E" w14:textId="48A4414E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Common minor effects: Loose stools, mild abdominal discomfort, or dry mouth in sensitive users</w:t>
      </w:r>
      <w:r w:rsidR="008E4D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often dose/pattern related; adjust or co-prescribe to balance.</w:t>
      </w:r>
    </w:p>
    <w:p w14:paraId="6B6A6438" w14:textId="50CE8DD9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Avoid/Use with caution: Damp-predominant diarrhea, yin-deficient heat, true heat/constipation. Pregnancy/lactation: insufficient data</w:t>
      </w:r>
      <w:r w:rsidR="00816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avoid high or prolonged dosing.</w:t>
      </w:r>
    </w:p>
    <w:p w14:paraId="6B93A344" w14:textId="77777777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Drug considerations: Theoretical additivity with ED agents, antihypertensives or glucose-lowering drugs; monitor and coordinate care.</w:t>
      </w:r>
    </w:p>
    <w:p w14:paraId="19EB4956" w14:textId="77777777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Quality: Confirm species (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deserticola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tubulosa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test for contaminants, and look for quantified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PhGs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CoA/labels [1–2].</w:t>
      </w:r>
    </w:p>
    <w:p w14:paraId="726935CA" w14:textId="77777777" w:rsidR="0011343C" w:rsidRPr="0011343C" w:rsidRDefault="0011343C" w:rsidP="0011343C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11343C">
        <w:rPr>
          <w:rFonts w:ascii="Times New Roman" w:hAnsi="Times New Roman" w:cs="Times New Roman"/>
          <w:color w:val="000000" w:themeColor="text1"/>
        </w:rPr>
        <w:t xml:space="preserve">Synergy &amp; “Steady-State Quartet” </w:t>
      </w:r>
      <w:proofErr w:type="gramStart"/>
      <w:r w:rsidRPr="0011343C">
        <w:rPr>
          <w:rFonts w:ascii="Times New Roman" w:hAnsi="Times New Roman" w:cs="Times New Roman"/>
          <w:color w:val="000000" w:themeColor="text1"/>
        </w:rPr>
        <w:t>counter-balance</w:t>
      </w:r>
      <w:proofErr w:type="gramEnd"/>
      <w:r w:rsidRPr="0011343C">
        <w:rPr>
          <w:rFonts w:ascii="Times New Roman" w:hAnsi="Times New Roman" w:cs="Times New Roman"/>
          <w:color w:val="000000" w:themeColor="text1"/>
        </w:rPr>
        <w:t xml:space="preserve"> (examples)</w:t>
      </w:r>
    </w:p>
    <w:p w14:paraId="49418683" w14:textId="77777777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Yang/Essence deficiency &amp; low vitality: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Cistanche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Epimedium (yang/vascular tone) + Eucommia (tendons/bones) + Lycium/Fructus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Ligustri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(Essence/Blood) → strong yet not overly drying.</w:t>
      </w:r>
    </w:p>
    <w:p w14:paraId="71D21A4A" w14:textId="77777777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Dryness-type constipation: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Cistanche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Angelica sinensis (Blood/fluids) + Cannabis seed or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Platycladi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seed (moisten/settle) → moisten without stagnation.</w:t>
      </w:r>
    </w:p>
    <w:p w14:paraId="24478CC2" w14:textId="77777777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Tendency to dryness/yin depletion: Add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Rehmannia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(yin/Blood) or Dendrobium (Stomach yin) to warm without over-drying.</w:t>
      </w:r>
    </w:p>
    <w:p w14:paraId="67EFBC53" w14:textId="77777777" w:rsidR="0011343C" w:rsidRPr="00BC3AFC" w:rsidRDefault="0011343C" w:rsidP="0011343C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Spleen qi/damp issues: Pair with Citri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reticulatae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pericarpium</w:t>
      </w:r>
      <w:proofErr w:type="spell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Amomum (move qi, wake Spleen) + Poria (drain damp) to support digestion.</w:t>
      </w:r>
    </w:p>
    <w:p w14:paraId="6CFBFD7D" w14:textId="77777777" w:rsidR="0011343C" w:rsidRPr="00BC3AFC" w:rsidRDefault="001134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08DEBE" w14:textId="77777777" w:rsidR="000654A8" w:rsidRPr="00BC3AFC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1E561B2F" w14:textId="0555320F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Zhang S, et al. Chemical composition and pharmacological effects of Cistanche spp.: emphasis on phenylethanoid glycosides. 2024.</w:t>
      </w:r>
    </w:p>
    <w:p w14:paraId="685DA3BA" w14:textId="144CA823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Fu Z, et al. Cistanches Herba: overview of chemistry, processing, and pharmacology. Journal of Ethnopharmacology. 2018.</w:t>
      </w:r>
    </w:p>
    <w:p w14:paraId="6B5F059D" w14:textId="7FBD6229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Wang Q, et al. Phenylethanoid glycosides from Cistanche tubulosa promote reproductive functions in mice. Journal of Ethnopharmacology. 2020.</w:t>
      </w:r>
    </w:p>
    <w:p w14:paraId="37673938" w14:textId="7E878847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 J, et al. A botanical product containing Cistanche and Ginkgo improves chronic fatigue syndrome symptoms: randomized, double-blind, </w:t>
      </w:r>
      <w:proofErr w:type="gram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placebo-controlled</w:t>
      </w:r>
      <w:proofErr w:type="gram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. Frontiers in Nutrition. 2021.</w:t>
      </w:r>
    </w:p>
    <w:p w14:paraId="0E0AE374" w14:textId="2C0B91EA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Guo Q, et al. Cistanche tubulosa glycosides in Alzheimer’s disease: open-label clinical study. American Journal of Alzheimer’s Disease &amp; Other Dementias. 2013.</w:t>
      </w:r>
    </w:p>
    <w:p w14:paraId="52C47EE7" w14:textId="05F178F1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Inada Y, et al. Effects of Cistanche tubulosa extract on locomotive syndrome: randomized, double-blind, </w:t>
      </w:r>
      <w:proofErr w:type="gramStart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placebo-controlled</w:t>
      </w:r>
      <w:proofErr w:type="gramEnd"/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. Nutrients. 2021.</w:t>
      </w:r>
    </w:p>
    <w:p w14:paraId="574552BC" w14:textId="44D94DC4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ClinicalTrials.gov. Effect of Ginkgo and Cistanche against fatigue symptoms (NCT02807649). Accessed 2025.</w:t>
      </w:r>
    </w:p>
    <w:p w14:paraId="1983E8F1" w14:textId="49A4AE69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Li J, et al. Therapeutic potential &amp; molecular mechanisms of echinacoside in neurodegenerative diseases. Frontiers in Pharmacology. 2022.</w:t>
      </w:r>
    </w:p>
    <w:p w14:paraId="748C1594" w14:textId="65E5CC37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Yang X, et al. Echinacoside protects dopaminergic neurons via IL-6/JAK2/STAT3. Frontiers in Pharmacology. 2022.</w:t>
      </w:r>
    </w:p>
    <w:p w14:paraId="3D24B92A" w14:textId="6D47ED98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Lu R, et al. Echinacoside shows antidepressant-like effects via microglial modulation. Frontiers in Pharmacology. 2023.</w:t>
      </w:r>
    </w:p>
    <w:p w14:paraId="44E05766" w14:textId="1D9C9F30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Huang W, et al. Complete biosynthetic pathway of echinacoside in Cistanche tubulosa. Nature Communications. 2025.</w:t>
      </w:r>
    </w:p>
    <w:p w14:paraId="6D85C768" w14:textId="1D46A1D0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Zhang S, et al. Acteoside as a PHD2 inhibitor mitigating fatigue via HIF-1α/BNIP3-linked mitophagy. Biomedicine &amp; Pharmacotherapy. 2022.</w:t>
      </w:r>
    </w:p>
    <w:p w14:paraId="403FDB70" w14:textId="4A49C53C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Review on phenylethanoid glycosides activities and potential (broad pharmacology). Frontiers in Pharmacology. 2022.</w:t>
      </w:r>
    </w:p>
    <w:p w14:paraId="6CD23EDD" w14:textId="0F2E7BEE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Wu CJ, et al. Echinacoside as a putative anti-aging constituent of Cistanche. International Journal of Molecular Sciences. 2019.</w:t>
      </w:r>
    </w:p>
    <w:p w14:paraId="58C282B2" w14:textId="6BB13DED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Yu Z, et al. Cistanche deserticola polysaccharide alleviates constipation via microbiota, metabolites &amp; barrier modulation. American Journal of Translational Research. 2024.</w:t>
      </w:r>
    </w:p>
    <w:p w14:paraId="391CBB69" w14:textId="733C1167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Zhang X, et al. Cistanche deserticola and SCF/c-kit signaling in constipation (rat model). Biomedicine &amp; Pharmacotherapy. 2021.</w:t>
      </w:r>
    </w:p>
    <w:p w14:paraId="1E4E6F55" w14:textId="7218E4A3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Wang Q, et al. Phenylethanoid glycosides from Cistanche tubulosa promote reproductive functions in mice via steroidogenic pathways. Journal of Ethnopharmacology. 2020. PMID: 31881320.</w:t>
      </w:r>
    </w:p>
    <w:p w14:paraId="4211CE98" w14:textId="4DC3080E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Gu L, et al. Effects of Cistanche deserticola extract on erectile response in castrated rats. PubMed PMID: 27087079. 2016.</w:t>
      </w:r>
    </w:p>
    <w:p w14:paraId="402F7855" w14:textId="17971175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Li Z, et al. The role of Cistanches Herba and its ingredients in the urogenital-reproductive system: a review. Phytomedicine. 2024.</w:t>
      </w:r>
    </w:p>
    <w:p w14:paraId="782829EB" w14:textId="4FFCFF53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Guo L, et al. Cistanche total glycoside capsule promotes sperm maturation and fertility via NELL2 lumicrine pathway (preclinical). Journal of Ethnopharmacology. 2025 (in press).</w:t>
      </w:r>
    </w:p>
    <w:p w14:paraId="37DD22CB" w14:textId="5F15EB4E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Li H, et al. Traditional Chinese medical therapy for erectile dysfunction: mechanisms and evidence (includes Herba Cistanche). Transl Androl Urol. 2017.</w:t>
      </w:r>
    </w:p>
    <w:p w14:paraId="398C9A57" w14:textId="641238DA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Li J, et al. Cistanche deserticola polysaccharides protect against cyclophosphamide‑induced premature ovarian failure in mice via JAK‑STAT modulation. Journal of Ethnopharmacology. 2025.</w:t>
      </w:r>
    </w:p>
    <w:p w14:paraId="6209D837" w14:textId="24B5F608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Wang Y, et al. Research progress on the effect of Traditional Chinese Medicine on ovarian function and related infertility. Evid Based Complement Alternat Med. 2022.</w:t>
      </w:r>
    </w:p>
    <w:p w14:paraId="2EB8A34D" w14:textId="72F9DD88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Zhang S, et al. Chemical composition, pharmacological effects, and toxicology of Cistanche spp. update. Phytomedicine. 2024.</w:t>
      </w:r>
    </w:p>
    <w:p w14:paraId="7C5D9B55" w14:textId="1B954273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Wang W, et al. Echinacoside: distribution, chemistry and pharmacology with relevance to aging-related pathways. Advanced Drug Delivery Reviews. 2023.</w:t>
      </w:r>
    </w:p>
    <w:p w14:paraId="2E1D0E55" w14:textId="77FCE48F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Mo S, et al. Echinacoside ameliorates UVB‑induced skin damage by mitigating ROS and DNA injury (preclinical). Antioxidants. 2025.</w:t>
      </w:r>
    </w:p>
    <w:p w14:paraId="2BBB8F7F" w14:textId="40DEA12F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Han J, et al. Echinacoside‑zinc nanomaterial inhibits skin glycation via RAGE pathway suppression. Pharmaceutics. 2023.</w:t>
      </w:r>
    </w:p>
    <w:p w14:paraId="557CD2F4" w14:textId="11B1BB9B" w:rsidR="000654A8" w:rsidRPr="00BC3AFC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AFC">
        <w:rPr>
          <w:rFonts w:ascii="Times New Roman" w:hAnsi="Times New Roman" w:cs="Times New Roman"/>
          <w:color w:val="000000" w:themeColor="text1"/>
          <w:sz w:val="24"/>
          <w:szCs w:val="24"/>
        </w:rPr>
        <w:t>Hou R, et al. Total glycosides from Cistanche tubulosa ameliorate cognitive decline via microbiota and metabolic regulation. Frontiers in Pharmacology. 2025.</w:t>
      </w:r>
    </w:p>
    <w:sectPr w:rsidR="000654A8" w:rsidRPr="00BC3A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9148107">
    <w:abstractNumId w:val="8"/>
  </w:num>
  <w:num w:numId="2" w16cid:durableId="344017249">
    <w:abstractNumId w:val="6"/>
  </w:num>
  <w:num w:numId="3" w16cid:durableId="697387038">
    <w:abstractNumId w:val="5"/>
  </w:num>
  <w:num w:numId="4" w16cid:durableId="1747342556">
    <w:abstractNumId w:val="4"/>
  </w:num>
  <w:num w:numId="5" w16cid:durableId="1038746197">
    <w:abstractNumId w:val="7"/>
  </w:num>
  <w:num w:numId="6" w16cid:durableId="1768230663">
    <w:abstractNumId w:val="3"/>
  </w:num>
  <w:num w:numId="7" w16cid:durableId="337656595">
    <w:abstractNumId w:val="2"/>
  </w:num>
  <w:num w:numId="8" w16cid:durableId="639463949">
    <w:abstractNumId w:val="1"/>
  </w:num>
  <w:num w:numId="9" w16cid:durableId="204158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4A8"/>
    <w:rsid w:val="0011343C"/>
    <w:rsid w:val="0015074B"/>
    <w:rsid w:val="0029639D"/>
    <w:rsid w:val="00326F90"/>
    <w:rsid w:val="006E2DF3"/>
    <w:rsid w:val="008166A7"/>
    <w:rsid w:val="008E4D92"/>
    <w:rsid w:val="00AA1D8D"/>
    <w:rsid w:val="00B47730"/>
    <w:rsid w:val="00BC3AFC"/>
    <w:rsid w:val="00CB0664"/>
    <w:rsid w:val="00E51F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80DD5"/>
  <w14:defaultImageDpi w14:val="300"/>
  <w15:docId w15:val="{03DC6C12-D032-9149-AAD9-2C0A88A3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3</cp:revision>
  <dcterms:created xsi:type="dcterms:W3CDTF">2025-09-02T05:21:00Z</dcterms:created>
  <dcterms:modified xsi:type="dcterms:W3CDTF">2025-09-02T07:51:00Z</dcterms:modified>
  <cp:category/>
</cp:coreProperties>
</file>