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87D8" w14:textId="31125039" w:rsidR="003031E2" w:rsidRPr="001D79CD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D79C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Atractylodis Macrocephalae Rhizoma (Bai Zhu): Uses, Benefits, Doses</w:t>
      </w:r>
      <w:r w:rsidR="001D79C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, Safety </w:t>
      </w:r>
      <w:r w:rsidRPr="001D79C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&amp; TCM Perspective</w:t>
      </w:r>
    </w:p>
    <w:p w14:paraId="3547D5DF" w14:textId="1FE49D76" w:rsidR="00095E31" w:rsidRDefault="00095E3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31955">
        <w:rPr>
          <w:rFonts w:ascii="Arial" w:hAnsi="Arial" w:cs="Arial"/>
          <w:noProof/>
        </w:rPr>
        <w:drawing>
          <wp:inline distT="0" distB="0" distL="0" distR="0" wp14:anchorId="20797C5B" wp14:editId="6FA46348">
            <wp:extent cx="977900" cy="807336"/>
            <wp:effectExtent l="0" t="0" r="0" b="5715"/>
            <wp:docPr id="15" name="Picture 15" descr="A purple flower surrounded by green leav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A purple flower surrounded by green leave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535" cy="81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8518C" w14:textId="379048DB" w:rsidR="003031E2" w:rsidRPr="001D79CD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1D79CD">
        <w:rPr>
          <w:rFonts w:ascii="Times New Roman" w:hAnsi="Times New Roman" w:cs="Times New Roman"/>
          <w:color w:val="000000" w:themeColor="text1"/>
        </w:rPr>
        <w:t>What is Bai Zhu?</w:t>
      </w:r>
    </w:p>
    <w:p w14:paraId="2CCD26CD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Atractylodis Macrocephalae Rhizoma (Bai Zhu, 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白</w:t>
      </w:r>
      <w:r w:rsidRPr="001D79CD">
        <w:rPr>
          <w:rFonts w:ascii="Microsoft YaHei" w:eastAsia="Microsoft YaHei" w:hAnsi="Microsoft YaHei" w:cs="Microsoft YaHei" w:hint="eastAsia"/>
          <w:color w:val="000000" w:themeColor="text1"/>
          <w:sz w:val="24"/>
          <w:szCs w:val="24"/>
        </w:rPr>
        <w:t>术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) is a classic Spleen-qi–tonifying and dampness-drying root in Traditional Chinese Medicine (TCM). It is traditionally used to strengthen the Spleen, promote water metabolism, help control spontaneous sweating by consolidating the exterior, and support digestive function. [1][2]</w:t>
      </w:r>
    </w:p>
    <w:p w14:paraId="55565020" w14:textId="77777777" w:rsidR="003031E2" w:rsidRPr="001D79CD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Identity &amp; Taxonomy (Quick Reference)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1D79CD" w:rsidRPr="001D79CD" w14:paraId="55A7F170" w14:textId="77777777" w:rsidTr="001D79CD">
        <w:tc>
          <w:tcPr>
            <w:tcW w:w="4320" w:type="dxa"/>
          </w:tcPr>
          <w:p w14:paraId="6B4CCAAB" w14:textId="120DF949" w:rsidR="003031E2" w:rsidRPr="00F03CF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C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</w:t>
            </w:r>
          </w:p>
        </w:tc>
        <w:tc>
          <w:tcPr>
            <w:tcW w:w="4320" w:type="dxa"/>
          </w:tcPr>
          <w:p w14:paraId="7C07E34D" w14:textId="77777777" w:rsidR="003031E2" w:rsidRPr="001D79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 Zhu (White Atractylodes)</w:t>
            </w:r>
          </w:p>
        </w:tc>
      </w:tr>
      <w:tr w:rsidR="001D79CD" w:rsidRPr="001D79CD" w14:paraId="112408CB" w14:textId="77777777" w:rsidTr="001D79CD">
        <w:tc>
          <w:tcPr>
            <w:tcW w:w="4320" w:type="dxa"/>
          </w:tcPr>
          <w:p w14:paraId="26E64841" w14:textId="3D211CAB" w:rsidR="003031E2" w:rsidRPr="00F03CF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C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</w:t>
            </w:r>
          </w:p>
        </w:tc>
        <w:tc>
          <w:tcPr>
            <w:tcW w:w="4320" w:type="dxa"/>
          </w:tcPr>
          <w:p w14:paraId="6B6EB509" w14:textId="77777777" w:rsidR="003031E2" w:rsidRPr="001D79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Rhizoma Atractylodis Macrocephalae</w:t>
            </w:r>
          </w:p>
        </w:tc>
      </w:tr>
      <w:tr w:rsidR="001D79CD" w:rsidRPr="001D79CD" w14:paraId="4237C200" w14:textId="77777777" w:rsidTr="001D79CD">
        <w:tc>
          <w:tcPr>
            <w:tcW w:w="4320" w:type="dxa"/>
          </w:tcPr>
          <w:p w14:paraId="2E72043A" w14:textId="3A5599F9" w:rsidR="003031E2" w:rsidRPr="00F03CF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C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</w:t>
            </w:r>
          </w:p>
        </w:tc>
        <w:tc>
          <w:tcPr>
            <w:tcW w:w="4320" w:type="dxa"/>
          </w:tcPr>
          <w:p w14:paraId="6718EC8D" w14:textId="77777777" w:rsidR="003031E2" w:rsidRPr="001D79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 Zhu; White Atractylodes</w:t>
            </w:r>
          </w:p>
        </w:tc>
      </w:tr>
      <w:tr w:rsidR="001D79CD" w:rsidRPr="001D79CD" w14:paraId="2BFE0C98" w14:textId="77777777" w:rsidTr="001D79CD">
        <w:tc>
          <w:tcPr>
            <w:tcW w:w="4320" w:type="dxa"/>
          </w:tcPr>
          <w:p w14:paraId="701A5F9A" w14:textId="0100B4BC" w:rsidR="003031E2" w:rsidRPr="00F03CF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C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 (Entering Meridians)</w:t>
            </w:r>
          </w:p>
        </w:tc>
        <w:tc>
          <w:tcPr>
            <w:tcW w:w="4320" w:type="dxa"/>
          </w:tcPr>
          <w:p w14:paraId="3ED27C79" w14:textId="77777777" w:rsidR="003031E2" w:rsidRPr="001D79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Tonify Qi (enters Spleen, Stomach)</w:t>
            </w:r>
          </w:p>
        </w:tc>
      </w:tr>
      <w:tr w:rsidR="001D79CD" w:rsidRPr="001D79CD" w14:paraId="7872CF8F" w14:textId="77777777" w:rsidTr="001D79CD">
        <w:tc>
          <w:tcPr>
            <w:tcW w:w="4320" w:type="dxa"/>
          </w:tcPr>
          <w:p w14:paraId="4C35E681" w14:textId="13224A85" w:rsidR="003031E2" w:rsidRPr="00F03CF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C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</w:t>
            </w:r>
          </w:p>
        </w:tc>
        <w:tc>
          <w:tcPr>
            <w:tcW w:w="4320" w:type="dxa"/>
          </w:tcPr>
          <w:p w14:paraId="4AD8C10C" w14:textId="77777777" w:rsidR="003031E2" w:rsidRPr="001D79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Warm</w:t>
            </w:r>
          </w:p>
        </w:tc>
      </w:tr>
      <w:tr w:rsidR="001D79CD" w:rsidRPr="001D79CD" w14:paraId="402674EC" w14:textId="77777777" w:rsidTr="001D79CD">
        <w:tc>
          <w:tcPr>
            <w:tcW w:w="4320" w:type="dxa"/>
          </w:tcPr>
          <w:p w14:paraId="679197DC" w14:textId="259188F7" w:rsidR="003031E2" w:rsidRPr="00F03CF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C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Taste(s)</w:t>
            </w:r>
          </w:p>
        </w:tc>
        <w:tc>
          <w:tcPr>
            <w:tcW w:w="4320" w:type="dxa"/>
          </w:tcPr>
          <w:p w14:paraId="577BB6F3" w14:textId="77777777" w:rsidR="003031E2" w:rsidRPr="001D79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Bitter, Sweet</w:t>
            </w:r>
          </w:p>
        </w:tc>
      </w:tr>
      <w:tr w:rsidR="001D79CD" w:rsidRPr="001D79CD" w14:paraId="16213915" w14:textId="77777777" w:rsidTr="001D79CD">
        <w:tc>
          <w:tcPr>
            <w:tcW w:w="4320" w:type="dxa"/>
          </w:tcPr>
          <w:p w14:paraId="1E606A1D" w14:textId="5B4036FF" w:rsidR="003031E2" w:rsidRPr="00F03CF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C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 Affinity</w:t>
            </w:r>
          </w:p>
        </w:tc>
        <w:tc>
          <w:tcPr>
            <w:tcW w:w="4320" w:type="dxa"/>
          </w:tcPr>
          <w:p w14:paraId="73D38EFB" w14:textId="77777777" w:rsidR="003031E2" w:rsidRPr="001D79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Spleen, Stomach</w:t>
            </w:r>
          </w:p>
        </w:tc>
      </w:tr>
      <w:tr w:rsidR="001D79CD" w:rsidRPr="001D79CD" w14:paraId="1C7FCDD6" w14:textId="77777777" w:rsidTr="001D79CD">
        <w:tc>
          <w:tcPr>
            <w:tcW w:w="4320" w:type="dxa"/>
          </w:tcPr>
          <w:p w14:paraId="1397A4E3" w14:textId="498AACDD" w:rsidR="003031E2" w:rsidRPr="00F03CF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C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Scientific Name</w:t>
            </w:r>
          </w:p>
        </w:tc>
        <w:tc>
          <w:tcPr>
            <w:tcW w:w="4320" w:type="dxa"/>
          </w:tcPr>
          <w:p w14:paraId="3B9D4C2A" w14:textId="77777777" w:rsidR="003031E2" w:rsidRPr="001D79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Atractylodes macrocephala Koidz.</w:t>
            </w:r>
          </w:p>
        </w:tc>
      </w:tr>
    </w:tbl>
    <w:p w14:paraId="6E0857C4" w14:textId="77777777" w:rsidR="003031E2" w:rsidRPr="001D79CD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9CD">
        <w:rPr>
          <w:rFonts w:ascii="Times New Roman" w:hAnsi="Times New Roman" w:cs="Times New Roman"/>
          <w:color w:val="000000" w:themeColor="text1"/>
          <w:sz w:val="28"/>
          <w:szCs w:val="28"/>
        </w:rPr>
        <w:t>Key constituents (why it’s bioactive)</w:t>
      </w:r>
    </w:p>
    <w:p w14:paraId="511BEFEA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Major constituents include atractylenolides (I/II/III), volatile oils, and polysaccharides. These have been associated with immunomodulatory, gastroprotective, anti-inflammatory, and prokinetic effects in preclinical studies. [3][4]</w:t>
      </w:r>
    </w:p>
    <w:p w14:paraId="37CFCBA2" w14:textId="77777777" w:rsidR="003031E2" w:rsidRPr="001D79CD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1D79CD">
        <w:rPr>
          <w:rFonts w:ascii="Times New Roman" w:hAnsi="Times New Roman" w:cs="Times New Roman"/>
          <w:color w:val="000000" w:themeColor="text1"/>
        </w:rPr>
        <w:t>Evidence-Supported Benefits (major “big blocks”)</w:t>
      </w:r>
    </w:p>
    <w:p w14:paraId="39C3E7B5" w14:textId="35822BCA" w:rsidR="003031E2" w:rsidRPr="001D79CD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C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Functional GI symptoms / chronic diarrhea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(formula-based evidence)</w:t>
      </w:r>
    </w:p>
    <w:p w14:paraId="2B9CED23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Small RCTs and observational studies of Shen Ling Bai Zhu San report better stool form, frequency, and GI QoL vs. control in Spleen-qi deficiency with dampness. [5][6]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Why it might work: Bai Zhu polysaccharides appear to support mucosal barrier function and normalize gut motility; atractylenolides (I/II/III) show anti-inflammatory and gastroprotective actions in preclinical models that map to the symptom pattern. [3][4]</w:t>
      </w:r>
    </w:p>
    <w:p w14:paraId="3E421E26" w14:textId="29EA396B" w:rsidR="003031E2" w:rsidRPr="001D79CD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C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Recurrent colds / spontaneous sweating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(preventive, formula-based)</w:t>
      </w:r>
    </w:p>
    <w:p w14:paraId="098B67C2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Yu Ping Feng San (Huang Qi + Bai Zhu + Fang Feng) has been associated with fewer URTI episodes/sick days in susceptible groups; evidence is formula-level. [2][7]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Why it might work: Bai Zhu polysaccharides and atractylenolide III show immunomodulatory effects (balancing cytokines, supporting innate/adaptive responses), which plausibly complements the “secure the exterior” strategy. [3][4]</w:t>
      </w:r>
    </w:p>
    <w:p w14:paraId="441829AF" w14:textId="31AFC9A9" w:rsidR="003031E2" w:rsidRPr="001D79CD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Pregnancy-related support in TCM (calming the fetus)</w:t>
      </w:r>
    </w:p>
    <w:p w14:paraId="6E03FEDB" w14:textId="42A527F3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Classically used when spotting/leakage arises from Spleen-qi deficiency (pattern-based, clinician-guided). Modern human safety/efficacy data are limited. [1][2]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Why it might work (theory): Gentle tonifying and anti-inflammatory effects of Bai Zhu polysaccharides/atractylenolides are hypothesized to stabilize the pattern; however, clinical confirmation is lacking</w:t>
      </w:r>
      <w:r w:rsidR="00F03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use only under professional supervision. [1][2][3]</w:t>
      </w:r>
    </w:p>
    <w:p w14:paraId="2A55010F" w14:textId="5C38CC5A" w:rsidR="003031E2" w:rsidRPr="001D79CD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Edema and fluid retention (adjunct)</w:t>
      </w:r>
    </w:p>
    <w:p w14:paraId="1A166CB3" w14:textId="2623E7F8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In Spleen-deficiency presentations with dampness, Bai Zhu</w:t>
      </w:r>
      <w:r w:rsidR="00F03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containing formulas are used to promote water transformation and relieve mild edema; human evidence is largely observational/formula-based. [2]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Why it might work: Preclinical data suggest Bai Zhu constituents influence intestinal fluid handling and inflammatory tone, indirectly improving water metabolism consistent with TCM indications. [3][4]</w:t>
      </w:r>
    </w:p>
    <w:p w14:paraId="6954D71B" w14:textId="22A655C4" w:rsidR="003031E2" w:rsidRPr="001D79CD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79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Blood glucose &amp; metabolic signals (preclinical/adjunct)</w:t>
      </w:r>
    </w:p>
    <w:p w14:paraId="76CD1CF8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Animal and small clinical signals suggest improved glycemic indices with Bai Zhu or Bai-Zhu–rich formulas; robust single-herb RCTs are needed. [3][4]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Why it might work: Atractylenolides and polysaccharides have been reported to modulate insulin sensitivity and inflammatory pathways implicated in dysglycemia (e.g., down-tuning pro-inflammatory signaling that worsens insulin resistance). [3][4]</w:t>
      </w:r>
    </w:p>
    <w:p w14:paraId="35DD4118" w14:textId="78865094" w:rsidR="003031E2" w:rsidRPr="001D79CD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Anti-inflammatory / gastroprotective activity</w:t>
      </w:r>
    </w:p>
    <w:p w14:paraId="0416F7E2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Experimental studies show reductions in inflammatory mediators and preservation of gastric/intestinal lining, aligning with clinical use for dyspepsia and diarrhea patterns. [3][4]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Why it might work: Atractylenolide I/III and Bai Zhu polysaccharides have demonstrated NF-κB–related anti-inflammatory effects and antioxidant actions that protect GI tissue in preclinical models. [3][4]</w:t>
      </w:r>
    </w:p>
    <w:p w14:paraId="00305B7E" w14:textId="336999D0" w:rsidR="003031E2" w:rsidRPr="001D79CD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Immune modulation (preclinical → early clinical signals)</w:t>
      </w:r>
    </w:p>
    <w:p w14:paraId="5A32A1B3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Formula studies hint at improved immune indices; as a single herb, human data remain sparse. [3][6]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Why it might work: Bai Zhu polysaccharides have been shown to enhance macrophage activity and adjust cytokine profiles (e.g., IL-6, TNF-α) in vitro/animal work, offering a mechanistic basis for the observed preventive effects in formula contexts. [3][4]</w:t>
      </w:r>
    </w:p>
    <w:p w14:paraId="63724152" w14:textId="3134EFF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3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Bottom line:</w:t>
      </w:r>
      <w:r w:rsidRPr="00304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Bai Zhu’s most consistent clinical signals appear at the formula level</w:t>
      </w:r>
      <w:r w:rsidR="003043A9" w:rsidRPr="00304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043A9">
        <w:rPr>
          <w:rFonts w:ascii="Times New Roman" w:hAnsi="Times New Roman" w:cs="Times New Roman"/>
          <w:color w:val="000000" w:themeColor="text1"/>
          <w:sz w:val="24"/>
          <w:szCs w:val="24"/>
        </w:rPr>
        <w:t>notably Shen Ling Bai Zhu San (chronic diarrhea, Spleen-qi deficiency with dampness) and Yu Ping Feng San (recurrent colds/spontaneous sweating). Mechanistic plausibility is strong</w:t>
      </w:r>
      <w:r w:rsidR="003043A9" w:rsidRPr="00304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thanks to </w:t>
      </w:r>
      <w:proofErr w:type="spellStart"/>
      <w:r w:rsidRPr="003043A9">
        <w:rPr>
          <w:rFonts w:ascii="Times New Roman" w:hAnsi="Times New Roman" w:cs="Times New Roman"/>
          <w:color w:val="000000" w:themeColor="text1"/>
          <w:sz w:val="24"/>
          <w:szCs w:val="24"/>
        </w:rPr>
        <w:t>atractylenolides</w:t>
      </w:r>
      <w:proofErr w:type="spellEnd"/>
      <w:r w:rsidRPr="00304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(I/II/III) and Bai Zhu polysaccharides</w:t>
      </w:r>
      <w:r w:rsidR="00304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3A9">
        <w:rPr>
          <w:rFonts w:ascii="Times New Roman" w:hAnsi="Times New Roman" w:cs="Times New Roman"/>
          <w:color w:val="000000" w:themeColor="text1"/>
          <w:sz w:val="24"/>
          <w:szCs w:val="24"/>
        </w:rPr>
        <w:t>but single-herb human RCT evidence is limited. Use Bai Zhu primarily as a pattern-guided adjunct under clinical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43A9"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supervision and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 expectations accordingly. [2][5][6][7][3][4]</w:t>
      </w:r>
    </w:p>
    <w:p w14:paraId="3140C13B" w14:textId="77777777" w:rsidR="003031E2" w:rsidRPr="001D79CD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How it’s used (TCM &amp; practical)</w:t>
      </w:r>
    </w:p>
    <w:p w14:paraId="1C41B121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Traditional functions: Tonifies Spleen qi, dries dampness, promotes water metabolism (for edema), stops spontaneous sweating by consolidating the exterior, and calms the fetus (pattern-dependent). [1][2]</w:t>
      </w:r>
    </w:p>
    <w:p w14:paraId="1F34F769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Representative classical uses (with modern notes):</w:t>
      </w:r>
    </w:p>
    <w:p w14:paraId="4E04485E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Shen Ling Bai Zhu San: Spleen qi deficiency with dampness → chronic diarrhea, loose stools, poor appetite, fatigue. Modern studies suggest symptom improvement versus conventional care (formula-level evidence). [5][6]</w:t>
      </w:r>
    </w:p>
    <w:p w14:paraId="15591418" w14:textId="6C8F2F2D" w:rsidR="003031E2" w:rsidRPr="003043A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Yu Ping Feng San (Huang Qi + Bai Zhu + Fang Feng): defensive-qi deficiency → recurrent colds, spontaneous sweating, aversion to wind. Used preventively in susceptible patients (formula-level evidence). [2][7]</w:t>
      </w:r>
      <w:r w:rsidR="00304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43A9" w:rsidRPr="003043A9">
        <w:rPr>
          <w:rFonts w:ascii="Times New Roman" w:hAnsi="Times New Roman" w:cs="Times New Roman"/>
          <w:color w:val="000000"/>
          <w:sz w:val="24"/>
          <w:szCs w:val="24"/>
        </w:rPr>
        <w:t>Keep your immune system strong every day with Immune Defense</w:t>
      </w:r>
      <w:r w:rsidR="003043A9">
        <w:rPr>
          <w:rFonts w:ascii="Times New Roman" w:hAnsi="Times New Roman" w:cs="Times New Roman"/>
          <w:color w:val="000000"/>
          <w:sz w:val="24"/>
          <w:szCs w:val="24"/>
        </w:rPr>
        <w:t xml:space="preserve"> formula at Sol Nutrition, </w:t>
      </w:r>
      <w:r w:rsidR="003043A9" w:rsidRPr="003043A9">
        <w:rPr>
          <w:rFonts w:ascii="Times New Roman" w:hAnsi="Times New Roman" w:cs="Times New Roman"/>
          <w:color w:val="000000"/>
          <w:sz w:val="24"/>
          <w:szCs w:val="24"/>
        </w:rPr>
        <w:t xml:space="preserve">not only </w:t>
      </w:r>
      <w:proofErr w:type="gramStart"/>
      <w:r w:rsidR="003043A9" w:rsidRPr="003043A9">
        <w:rPr>
          <w:rFonts w:ascii="Times New Roman" w:hAnsi="Times New Roman" w:cs="Times New Roman"/>
          <w:color w:val="000000"/>
          <w:sz w:val="24"/>
          <w:szCs w:val="24"/>
        </w:rPr>
        <w:t>and also</w:t>
      </w:r>
      <w:proofErr w:type="gramEnd"/>
      <w:r w:rsidR="003043A9" w:rsidRPr="003043A9">
        <w:rPr>
          <w:rFonts w:ascii="Times New Roman" w:hAnsi="Times New Roman" w:cs="Times New Roman"/>
          <w:color w:val="000000"/>
          <w:sz w:val="24"/>
          <w:szCs w:val="24"/>
        </w:rPr>
        <w:t xml:space="preserve"> include </w:t>
      </w:r>
      <w:r w:rsidR="003043A9"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 Ping Feng San </w:t>
      </w:r>
      <w:proofErr w:type="gramStart"/>
      <w:r w:rsidR="003043A9">
        <w:rPr>
          <w:rFonts w:ascii="Times New Roman" w:hAnsi="Times New Roman" w:cs="Times New Roman"/>
          <w:color w:val="000000" w:themeColor="text1"/>
          <w:sz w:val="24"/>
          <w:szCs w:val="24"/>
        </w:rPr>
        <w:t>and also</w:t>
      </w:r>
      <w:proofErr w:type="gramEnd"/>
      <w:r w:rsidR="00304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formulated with </w:t>
      </w:r>
      <w:r w:rsidR="003043A9" w:rsidRPr="003043A9">
        <w:rPr>
          <w:rFonts w:ascii="Times New Roman" w:hAnsi="Times New Roman" w:cs="Times New Roman"/>
          <w:color w:val="000000"/>
          <w:sz w:val="24"/>
          <w:szCs w:val="24"/>
        </w:rPr>
        <w:t>key herbs that power up the strength in the formula</w:t>
      </w:r>
      <w:r w:rsidR="003043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649D4F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Per TCM doctrine in pregnancy: selected by clinicians to “calm the fetus” for qi-deficiency leakage; requires individualized oversight; modern safety data are limited. [1][2]</w:t>
      </w:r>
    </w:p>
    <w:p w14:paraId="4FF3A934" w14:textId="77777777" w:rsidR="003031E2" w:rsidRPr="001D79CD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Adult Doses (How &amp; When to Use)</w:t>
      </w:r>
    </w:p>
    <w:p w14:paraId="51AF10FF" w14:textId="799DF8F5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Traditional decoction/dried root: 6</w:t>
      </w:r>
      <w:r w:rsidR="00F03C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15 g/day. [1]</w:t>
      </w:r>
    </w:p>
    <w:p w14:paraId="442BF010" w14:textId="7FB0958D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Extracts (granules/tinctures): dose to deliver dried-root equivalent 6</w:t>
      </w:r>
      <w:r w:rsidR="00F03C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15 g/day (follow product label). [1]</w:t>
      </w:r>
    </w:p>
    <w:p w14:paraId="64A55F17" w14:textId="66FA51C9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Conversion examples: 5:1 extract → 1.2–3 g/day; 10:1 extract → 0.6–1.5 g/day.</w:t>
      </w:r>
    </w:p>
    <w:p w14:paraId="373DE7EC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Preparation notes: raw (sheng), dry-fried (chao), bran-fried (chao fu xiao mai), and honey-prepared by tradition. [2]</w:t>
      </w:r>
    </w:p>
    <w:p w14:paraId="5CF71828" w14:textId="77777777" w:rsidR="003031E2" w:rsidRPr="001D79CD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Safety, interactions &amp; who should avoid it</w:t>
      </w:r>
    </w:p>
    <w:p w14:paraId="0E66A50E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Generally well tolerated at traditional doses; occasional dry mouth/thirst reported. [2]</w:t>
      </w:r>
    </w:p>
    <w:p w14:paraId="12D6BA7E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Pregnancy: use only under professional supervision; modern safety data are limited despite traditional “calm the fetus” usage. [1][2]</w:t>
      </w:r>
    </w:p>
    <w:p w14:paraId="52BD3449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Bleeding/anticoagulants: no strong signal, but caution is reasonable with multi-herb formulas affecting platelets.</w:t>
      </w:r>
    </w:p>
    <w:p w14:paraId="3F8BBD6B" w14:textId="543FA80D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Hypoglycemics/antidiabetics: theoretical additive effects</w:t>
      </w:r>
      <w:r w:rsidR="00F03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monitor if combined. [3][4]</w:t>
      </w:r>
    </w:p>
    <w:p w14:paraId="6EEE9719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Allergies: avoid if known Asteraceae (Compositae) hypersensitivity.</w:t>
      </w:r>
    </w:p>
    <w:p w14:paraId="52278321" w14:textId="77777777" w:rsidR="003031E2" w:rsidRPr="001D79CD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Notes for clinical use (quick)</w:t>
      </w:r>
    </w:p>
    <w:p w14:paraId="50DE7C27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Best suited for Spleen-qi deficiency with dampness presentations (loose stools, fatigue, poor appetite). [1][2]</w:t>
      </w:r>
    </w:p>
    <w:p w14:paraId="024DC4FB" w14:textId="1F09C745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For recurrent colds/sweating, consider Yu Ping Feng San; for chronic diarrhea, consider Shen Ling Bai Zhu San</w:t>
      </w:r>
      <w:r w:rsidR="00F03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both under</w:t>
      </w:r>
      <w:proofErr w:type="gramEnd"/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clinician guidance. [2][5][6][7]</w:t>
      </w:r>
    </w:p>
    <w:p w14:paraId="7C8A785E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• As a single herb, robust RCT evidence is limited; outcomes are strongest in multi-herb contexts. [5][6]</w:t>
      </w:r>
    </w:p>
    <w:p w14:paraId="6738AE47" w14:textId="77777777" w:rsidR="003031E2" w:rsidRPr="001D79CD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0482BB6E" w14:textId="71CA76AB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[1] Standard TCM materia medica texts (Bai Zhu entry): functions, dose 6</w:t>
      </w:r>
      <w:r w:rsidR="00F03C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15 g, channels (Spleen, Stomach), warm, bitter &amp; sweet.</w:t>
      </w:r>
    </w:p>
    <w:p w14:paraId="265D1213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[2] English-language TCM monographs/teaching references: Bai Zhu indications (Spleen qi deficiency, dampness), Yu Ping Feng San and Shen Ling Bai Zhu San contexts; preparation forms.</w:t>
      </w:r>
    </w:p>
    <w:p w14:paraId="5B8B35B2" w14:textId="6125710A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[3] Review: </w:t>
      </w:r>
      <w:proofErr w:type="spellStart"/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Atractylodes</w:t>
      </w:r>
      <w:proofErr w:type="spellEnd"/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macrocephala</w:t>
      </w:r>
      <w:proofErr w:type="spellEnd"/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polysaccharides and </w:t>
      </w:r>
      <w:proofErr w:type="spellStart"/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atractylenolides</w:t>
      </w:r>
      <w:proofErr w:type="spellEnd"/>
      <w:r w:rsidR="00304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immunomodulatory and GI-protective activities (preclinical/early clinical).</w:t>
      </w:r>
    </w:p>
    <w:p w14:paraId="0697E2DB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[4] Pharmacology update on atractylenolides I/II/III: anti-inflammatory, prokinetic, and glycemic signals (preclinical).</w:t>
      </w:r>
    </w:p>
    <w:p w14:paraId="0BE6A256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[5] Clinical studies/meta-analyses of Shen Ling Bai Zhu San for chronic diarrhea/IBS-D (small, heterogeneous RCTs).</w:t>
      </w:r>
    </w:p>
    <w:p w14:paraId="29EE6841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[6] Observational/hospital reports on Shen Ling Bai Zhu San adjunct use in chronic GI dysfunction (symptom &amp; QoL endpoints).</w:t>
      </w:r>
    </w:p>
    <w:p w14:paraId="3A224321" w14:textId="77777777" w:rsidR="003031E2" w:rsidRPr="001D79C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9CD">
        <w:rPr>
          <w:rFonts w:ascii="Times New Roman" w:hAnsi="Times New Roman" w:cs="Times New Roman"/>
          <w:color w:val="000000" w:themeColor="text1"/>
          <w:sz w:val="24"/>
          <w:szCs w:val="24"/>
        </w:rPr>
        <w:t>[7] Studies/summaries on Yu Ping Feng San preventing recurrent upper respiratory infections and reducing spontaneous sweating in exterior-deficiency patterns.</w:t>
      </w:r>
    </w:p>
    <w:sectPr w:rsidR="003031E2" w:rsidRPr="001D79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9147366">
    <w:abstractNumId w:val="8"/>
  </w:num>
  <w:num w:numId="2" w16cid:durableId="288973833">
    <w:abstractNumId w:val="6"/>
  </w:num>
  <w:num w:numId="3" w16cid:durableId="1065490730">
    <w:abstractNumId w:val="5"/>
  </w:num>
  <w:num w:numId="4" w16cid:durableId="884683185">
    <w:abstractNumId w:val="4"/>
  </w:num>
  <w:num w:numId="5" w16cid:durableId="73942445">
    <w:abstractNumId w:val="7"/>
  </w:num>
  <w:num w:numId="6" w16cid:durableId="988676154">
    <w:abstractNumId w:val="3"/>
  </w:num>
  <w:num w:numId="7" w16cid:durableId="1144473035">
    <w:abstractNumId w:val="2"/>
  </w:num>
  <w:num w:numId="8" w16cid:durableId="2048407692">
    <w:abstractNumId w:val="1"/>
  </w:num>
  <w:num w:numId="9" w16cid:durableId="34675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E31"/>
    <w:rsid w:val="0015074B"/>
    <w:rsid w:val="001D79CD"/>
    <w:rsid w:val="00222CC2"/>
    <w:rsid w:val="0029639D"/>
    <w:rsid w:val="003031E2"/>
    <w:rsid w:val="003043A9"/>
    <w:rsid w:val="00326F90"/>
    <w:rsid w:val="006E2DF3"/>
    <w:rsid w:val="009B3568"/>
    <w:rsid w:val="00AA1D8D"/>
    <w:rsid w:val="00B47730"/>
    <w:rsid w:val="00CB0664"/>
    <w:rsid w:val="00F03C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DE6ED"/>
  <w14:defaultImageDpi w14:val="300"/>
  <w15:docId w15:val="{8E241737-B3CE-8C47-9629-946AD0A9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5</cp:revision>
  <dcterms:created xsi:type="dcterms:W3CDTF">2025-08-13T13:54:00Z</dcterms:created>
  <dcterms:modified xsi:type="dcterms:W3CDTF">2025-09-02T07:23:00Z</dcterms:modified>
  <cp:category/>
</cp:coreProperties>
</file>