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80E3C" w14:textId="77777777" w:rsidR="002E6A70" w:rsidRPr="00AF0FFB" w:rsidRDefault="00000000">
      <w:pPr>
        <w:pStyle w:val="Title"/>
        <w:rPr>
          <w:b/>
          <w:bCs/>
          <w:color w:val="000000" w:themeColor="text1"/>
          <w:sz w:val="36"/>
          <w:szCs w:val="36"/>
        </w:rPr>
      </w:pPr>
      <w:r w:rsidRPr="00AF0FFB">
        <w:rPr>
          <w:b/>
          <w:bCs/>
          <w:color w:val="000000" w:themeColor="text1"/>
          <w:sz w:val="36"/>
          <w:szCs w:val="36"/>
        </w:rPr>
        <w:t>Agastache (Tu Huo Xiang; Herba Agastachis): Uses, Benefits, Dosage, Safety and TCM Perspective</w:t>
      </w:r>
    </w:p>
    <w:p w14:paraId="64F6FB92" w14:textId="77777777" w:rsidR="002E6A70" w:rsidRPr="00AF0FFB" w:rsidRDefault="00000000">
      <w:pPr>
        <w:pStyle w:val="Heading1"/>
        <w:rPr>
          <w:color w:val="000000" w:themeColor="text1"/>
        </w:rPr>
      </w:pPr>
      <w:r w:rsidRPr="00AF0FFB">
        <w:rPr>
          <w:color w:val="000000" w:themeColor="text1"/>
        </w:rPr>
        <w:t>What it is</w:t>
      </w:r>
    </w:p>
    <w:p w14:paraId="721DFFD4" w14:textId="77777777" w:rsidR="002E6A70" w:rsidRDefault="00000000">
      <w:pPr>
        <w:spacing w:after="120"/>
      </w:pPr>
      <w:r>
        <w:t>Tu Huo Xiang (</w:t>
      </w:r>
      <w:r>
        <w:t>土藿香</w:t>
      </w:r>
      <w:r>
        <w:t>) refers to the aerial parts of Agastache rugosa (Fisch. &amp; C.A.Mey.) Kuntze (Lamiaceae), dried and used as a fragrant, aromatic herb. In TCM it is treated as a local substitute for Guang Huo Xiang (Pogostemon cablin) and placed in the Aromatic Transform Dampness category. It transforms Dampness, awakens the Spleen, harmonizes the middle, stops vomiting, and releases the exterior when Wind‑Cold coexists with Damp. It is commonly employed for epigastric oppression, nausea/vomiting, poor appetite, diarrhea, head heaviness and fatigue associated with summerheat‑Damp. [1–4]</w:t>
      </w:r>
    </w:p>
    <w:p w14:paraId="03EC6886" w14:textId="77777777" w:rsidR="002E6A70" w:rsidRPr="00AF0FFB" w:rsidRDefault="00000000">
      <w:pPr>
        <w:pStyle w:val="Heading1"/>
        <w:rPr>
          <w:color w:val="000000" w:themeColor="text1"/>
        </w:rPr>
      </w:pPr>
      <w:r w:rsidRPr="00AF0FFB">
        <w:rPr>
          <w:color w:val="000000" w:themeColor="text1"/>
        </w:rPr>
        <w:t>Identity &amp; Taxonomy (Quick Reference)</w:t>
      </w:r>
    </w:p>
    <w:tbl>
      <w:tblPr>
        <w:tblStyle w:val="TableGrid"/>
        <w:tblW w:w="0" w:type="auto"/>
        <w:tblLook w:val="04A0" w:firstRow="1" w:lastRow="0" w:firstColumn="1" w:lastColumn="0" w:noHBand="0" w:noVBand="1"/>
      </w:tblPr>
      <w:tblGrid>
        <w:gridCol w:w="3615"/>
        <w:gridCol w:w="5015"/>
      </w:tblGrid>
      <w:tr w:rsidR="002E6A70" w14:paraId="1CD6AF66" w14:textId="77777777" w:rsidTr="00AF0FFB">
        <w:tc>
          <w:tcPr>
            <w:tcW w:w="3618" w:type="dxa"/>
          </w:tcPr>
          <w:p w14:paraId="1F727D93" w14:textId="106D8C2A" w:rsidR="002E6A70" w:rsidRDefault="00000000">
            <w:r>
              <w:t>English Name</w:t>
            </w:r>
            <w:r w:rsidR="00AF0FFB">
              <w:t>:</w:t>
            </w:r>
          </w:p>
        </w:tc>
        <w:tc>
          <w:tcPr>
            <w:tcW w:w="5022" w:type="dxa"/>
          </w:tcPr>
          <w:p w14:paraId="06484048" w14:textId="77777777" w:rsidR="002E6A70" w:rsidRDefault="00000000">
            <w:r>
              <w:t>Agastache; Korean mint (herb)</w:t>
            </w:r>
          </w:p>
        </w:tc>
      </w:tr>
      <w:tr w:rsidR="002E6A70" w14:paraId="1C67F951" w14:textId="77777777" w:rsidTr="00AF0FFB">
        <w:tc>
          <w:tcPr>
            <w:tcW w:w="3618" w:type="dxa"/>
          </w:tcPr>
          <w:p w14:paraId="73139A18" w14:textId="55A6E29A" w:rsidR="002E6A70" w:rsidRDefault="00000000">
            <w:r>
              <w:t>Pinyin (TCM Name)</w:t>
            </w:r>
            <w:r w:rsidR="00AF0FFB">
              <w:t>:</w:t>
            </w:r>
          </w:p>
        </w:tc>
        <w:tc>
          <w:tcPr>
            <w:tcW w:w="5022" w:type="dxa"/>
          </w:tcPr>
          <w:p w14:paraId="520B73D8" w14:textId="77777777" w:rsidR="002E6A70" w:rsidRDefault="00000000">
            <w:r>
              <w:t>Tu Huo Xiang (</w:t>
            </w:r>
            <w:r>
              <w:t>土藿香</w:t>
            </w:r>
            <w:r>
              <w:t>)</w:t>
            </w:r>
          </w:p>
        </w:tc>
      </w:tr>
      <w:tr w:rsidR="002E6A70" w14:paraId="3DEEDFEC" w14:textId="77777777" w:rsidTr="00AF0FFB">
        <w:tc>
          <w:tcPr>
            <w:tcW w:w="3618" w:type="dxa"/>
          </w:tcPr>
          <w:p w14:paraId="5BD455B7" w14:textId="7E500263" w:rsidR="002E6A70" w:rsidRDefault="00000000">
            <w:r>
              <w:t>Latin Pharmaceutical Name</w:t>
            </w:r>
            <w:r w:rsidR="00AF0FFB">
              <w:t>:</w:t>
            </w:r>
          </w:p>
        </w:tc>
        <w:tc>
          <w:tcPr>
            <w:tcW w:w="5022" w:type="dxa"/>
          </w:tcPr>
          <w:p w14:paraId="7BE93DA5" w14:textId="77777777" w:rsidR="002E6A70" w:rsidRDefault="00000000">
            <w:r>
              <w:t>Herba Agastachis</w:t>
            </w:r>
          </w:p>
        </w:tc>
      </w:tr>
      <w:tr w:rsidR="002E6A70" w14:paraId="12FA1A9B" w14:textId="77777777" w:rsidTr="00AF0FFB">
        <w:tc>
          <w:tcPr>
            <w:tcW w:w="3618" w:type="dxa"/>
          </w:tcPr>
          <w:p w14:paraId="101139AD" w14:textId="5E788500" w:rsidR="002E6A70" w:rsidRDefault="00000000">
            <w:r>
              <w:t>Scientific Name(s)</w:t>
            </w:r>
            <w:r w:rsidR="00AF0FFB">
              <w:t>:</w:t>
            </w:r>
          </w:p>
        </w:tc>
        <w:tc>
          <w:tcPr>
            <w:tcW w:w="5022" w:type="dxa"/>
          </w:tcPr>
          <w:p w14:paraId="7FDE6C9F" w14:textId="77777777" w:rsidR="002E6A70" w:rsidRDefault="00000000">
            <w:r>
              <w:t>Agastache rugosa (Fisch. &amp; C.A.Mey.) O.Kuntze</w:t>
            </w:r>
          </w:p>
        </w:tc>
      </w:tr>
      <w:tr w:rsidR="002E6A70" w14:paraId="10B86A1C" w14:textId="77777777" w:rsidTr="00AF0FFB">
        <w:tc>
          <w:tcPr>
            <w:tcW w:w="3618" w:type="dxa"/>
          </w:tcPr>
          <w:p w14:paraId="1FDB761E" w14:textId="50934690" w:rsidR="002E6A70" w:rsidRDefault="00000000">
            <w:r>
              <w:t>Family</w:t>
            </w:r>
            <w:r w:rsidR="00AF0FFB">
              <w:t>:</w:t>
            </w:r>
          </w:p>
        </w:tc>
        <w:tc>
          <w:tcPr>
            <w:tcW w:w="5022" w:type="dxa"/>
          </w:tcPr>
          <w:p w14:paraId="414F0D27" w14:textId="77777777" w:rsidR="002E6A70" w:rsidRDefault="00000000">
            <w:r>
              <w:t>Lamiaceae</w:t>
            </w:r>
          </w:p>
        </w:tc>
      </w:tr>
      <w:tr w:rsidR="002E6A70" w14:paraId="60732034" w14:textId="77777777" w:rsidTr="00AF0FFB">
        <w:tc>
          <w:tcPr>
            <w:tcW w:w="3618" w:type="dxa"/>
          </w:tcPr>
          <w:p w14:paraId="0DCB7EF4" w14:textId="3D06DBED" w:rsidR="002E6A70" w:rsidRDefault="00000000">
            <w:r>
              <w:t>Common Names</w:t>
            </w:r>
            <w:r w:rsidR="00AF0FFB">
              <w:t>:</w:t>
            </w:r>
          </w:p>
        </w:tc>
        <w:tc>
          <w:tcPr>
            <w:tcW w:w="5022" w:type="dxa"/>
          </w:tcPr>
          <w:p w14:paraId="52D214C1" w14:textId="77777777" w:rsidR="002E6A70" w:rsidRDefault="00000000">
            <w:r>
              <w:t>Korean mint; Wrinkled giant hyssop</w:t>
            </w:r>
          </w:p>
        </w:tc>
      </w:tr>
      <w:tr w:rsidR="002E6A70" w14:paraId="0FD81997" w14:textId="77777777" w:rsidTr="00AF0FFB">
        <w:tc>
          <w:tcPr>
            <w:tcW w:w="3618" w:type="dxa"/>
          </w:tcPr>
          <w:p w14:paraId="3BA760E7" w14:textId="4B2FF63A" w:rsidR="002E6A70" w:rsidRDefault="00000000">
            <w:r>
              <w:t>Part Used</w:t>
            </w:r>
            <w:r w:rsidR="00AF0FFB">
              <w:t>:</w:t>
            </w:r>
          </w:p>
        </w:tc>
        <w:tc>
          <w:tcPr>
            <w:tcW w:w="5022" w:type="dxa"/>
          </w:tcPr>
          <w:p w14:paraId="1F3D5AFB" w14:textId="77777777" w:rsidR="002E6A70" w:rsidRDefault="00000000">
            <w:r>
              <w:t>Aerial parts (leafy stem), dried</w:t>
            </w:r>
          </w:p>
        </w:tc>
      </w:tr>
      <w:tr w:rsidR="002E6A70" w14:paraId="75FC2F05" w14:textId="77777777" w:rsidTr="00AF0FFB">
        <w:tc>
          <w:tcPr>
            <w:tcW w:w="3618" w:type="dxa"/>
          </w:tcPr>
          <w:p w14:paraId="705A777D" w14:textId="0A05F4D4" w:rsidR="002E6A70" w:rsidRDefault="00000000">
            <w:r>
              <w:t>TCM Category</w:t>
            </w:r>
            <w:r w:rsidR="00AF0FFB">
              <w:t>:</w:t>
            </w:r>
          </w:p>
        </w:tc>
        <w:tc>
          <w:tcPr>
            <w:tcW w:w="5022" w:type="dxa"/>
          </w:tcPr>
          <w:p w14:paraId="59A6FB1B" w14:textId="77777777" w:rsidR="002E6A70" w:rsidRDefault="00000000">
            <w:r>
              <w:t>Aromatic Transform Dampness [1–3]</w:t>
            </w:r>
          </w:p>
        </w:tc>
      </w:tr>
      <w:tr w:rsidR="002E6A70" w14:paraId="69FB9A37" w14:textId="77777777" w:rsidTr="00AF0FFB">
        <w:tc>
          <w:tcPr>
            <w:tcW w:w="3618" w:type="dxa"/>
          </w:tcPr>
          <w:p w14:paraId="66A4C874" w14:textId="218E0FC1" w:rsidR="002E6A70" w:rsidRDefault="00000000">
            <w:r>
              <w:t>TCM Nature</w:t>
            </w:r>
            <w:r w:rsidR="00AF0FFB">
              <w:t>:</w:t>
            </w:r>
          </w:p>
        </w:tc>
        <w:tc>
          <w:tcPr>
            <w:tcW w:w="5022" w:type="dxa"/>
          </w:tcPr>
          <w:p w14:paraId="5AAAEAB9" w14:textId="77777777" w:rsidR="002E6A70" w:rsidRDefault="00000000">
            <w:r>
              <w:t>Slightly warm, aromatic [1–3]</w:t>
            </w:r>
          </w:p>
        </w:tc>
      </w:tr>
      <w:tr w:rsidR="002E6A70" w14:paraId="40FE22D3" w14:textId="77777777" w:rsidTr="00AF0FFB">
        <w:tc>
          <w:tcPr>
            <w:tcW w:w="3618" w:type="dxa"/>
          </w:tcPr>
          <w:p w14:paraId="7458161B" w14:textId="61FF356E" w:rsidR="002E6A70" w:rsidRDefault="00000000">
            <w:r>
              <w:t>TCM Taste(s)</w:t>
            </w:r>
            <w:r w:rsidR="00AF0FFB">
              <w:t>:</w:t>
            </w:r>
          </w:p>
        </w:tc>
        <w:tc>
          <w:tcPr>
            <w:tcW w:w="5022" w:type="dxa"/>
          </w:tcPr>
          <w:p w14:paraId="7254F9C0" w14:textId="77777777" w:rsidR="002E6A70" w:rsidRDefault="00000000">
            <w:r>
              <w:t>Acrid, aromatic [1–3]</w:t>
            </w:r>
          </w:p>
        </w:tc>
      </w:tr>
      <w:tr w:rsidR="002E6A70" w14:paraId="08988AF8" w14:textId="77777777" w:rsidTr="00AF0FFB">
        <w:tc>
          <w:tcPr>
            <w:tcW w:w="3618" w:type="dxa"/>
          </w:tcPr>
          <w:p w14:paraId="708ADE07" w14:textId="16B1A065" w:rsidR="002E6A70" w:rsidRDefault="00000000">
            <w:r>
              <w:t>Organ Affinity (Channels)</w:t>
            </w:r>
            <w:r w:rsidR="00AF0FFB">
              <w:t>:</w:t>
            </w:r>
          </w:p>
        </w:tc>
        <w:tc>
          <w:tcPr>
            <w:tcW w:w="5022" w:type="dxa"/>
          </w:tcPr>
          <w:p w14:paraId="1A74A988" w14:textId="77777777" w:rsidR="002E6A70" w:rsidRDefault="00000000">
            <w:r>
              <w:t>Spleen, Stomach, Lung [1–3]</w:t>
            </w:r>
          </w:p>
        </w:tc>
      </w:tr>
      <w:tr w:rsidR="002E6A70" w14:paraId="1D9D9B3F" w14:textId="77777777" w:rsidTr="00AF0FFB">
        <w:tc>
          <w:tcPr>
            <w:tcW w:w="3618" w:type="dxa"/>
          </w:tcPr>
          <w:p w14:paraId="5F180749" w14:textId="3762F797" w:rsidR="002E6A70" w:rsidRDefault="00000000">
            <w:r>
              <w:t>Primary Production Areas</w:t>
            </w:r>
            <w:r w:rsidR="00AF0FFB">
              <w:t>:</w:t>
            </w:r>
          </w:p>
        </w:tc>
        <w:tc>
          <w:tcPr>
            <w:tcW w:w="5022" w:type="dxa"/>
          </w:tcPr>
          <w:p w14:paraId="37DC6864" w14:textId="77777777" w:rsidR="002E6A70" w:rsidRDefault="00000000">
            <w:r>
              <w:t>North China, Korea, Japan; widely cultivated</w:t>
            </w:r>
          </w:p>
        </w:tc>
      </w:tr>
    </w:tbl>
    <w:p w14:paraId="42598E56" w14:textId="77777777" w:rsidR="002E6A70" w:rsidRDefault="002E6A70"/>
    <w:p w14:paraId="00B659E7" w14:textId="77777777" w:rsidR="002E6A70" w:rsidRPr="00AF0FFB" w:rsidRDefault="00000000">
      <w:pPr>
        <w:pStyle w:val="Heading1"/>
        <w:rPr>
          <w:color w:val="000000" w:themeColor="text1"/>
        </w:rPr>
      </w:pPr>
      <w:r w:rsidRPr="00AF0FFB">
        <w:rPr>
          <w:color w:val="000000" w:themeColor="text1"/>
        </w:rPr>
        <w:t>Key constituents (why it works)</w:t>
      </w:r>
    </w:p>
    <w:p w14:paraId="1EB5AA1F" w14:textId="77777777" w:rsidR="00AF0FFB" w:rsidRDefault="00000000" w:rsidP="00AF0FFB">
      <w:pPr>
        <w:pStyle w:val="ListParagraph"/>
        <w:numPr>
          <w:ilvl w:val="0"/>
          <w:numId w:val="10"/>
        </w:numPr>
        <w:spacing w:after="120"/>
      </w:pPr>
      <w:r>
        <w:t>Essential oil phenylpropanoids and terpenes: estragole (methyl chavicol), methyleugenol, eugenol, menthone, limonene aromatic, carminative, antimicrobial and antiemetic signals; composition varies with geography and processing. [5–8]</w:t>
      </w:r>
    </w:p>
    <w:p w14:paraId="4BFB7C09" w14:textId="77777777" w:rsidR="00AF0FFB" w:rsidRDefault="00000000" w:rsidP="00AF0FFB">
      <w:pPr>
        <w:pStyle w:val="ListParagraph"/>
        <w:numPr>
          <w:ilvl w:val="0"/>
          <w:numId w:val="10"/>
        </w:numPr>
        <w:spacing w:after="120"/>
      </w:pPr>
      <w:r>
        <w:t>Flavonoids and phenolic acids: rosmarinic acid and acacetin/</w:t>
      </w:r>
      <w:proofErr w:type="spellStart"/>
      <w:r>
        <w:t>tilianin</w:t>
      </w:r>
      <w:proofErr w:type="spellEnd"/>
      <w:r>
        <w:t>‑type glycosides reported antioxidant, anti‑inflammatory and mucosal‑protective contributions. [5–8]</w:t>
      </w:r>
    </w:p>
    <w:p w14:paraId="6EA3B288" w14:textId="2DAFCA95" w:rsidR="002E6A70" w:rsidRDefault="00000000" w:rsidP="00AF0FFB">
      <w:pPr>
        <w:pStyle w:val="ListParagraph"/>
        <w:numPr>
          <w:ilvl w:val="0"/>
          <w:numId w:val="10"/>
        </w:numPr>
        <w:spacing w:after="120"/>
      </w:pPr>
      <w:r>
        <w:t>Minor tannins and polysaccharides: additional astringent and immunomodulatory effects. [5–7]</w:t>
      </w:r>
    </w:p>
    <w:p w14:paraId="1904ED6B" w14:textId="77777777" w:rsidR="002E6A70" w:rsidRPr="00AF0FFB" w:rsidRDefault="00000000">
      <w:pPr>
        <w:pStyle w:val="Heading1"/>
        <w:rPr>
          <w:color w:val="000000" w:themeColor="text1"/>
        </w:rPr>
      </w:pPr>
      <w:r w:rsidRPr="00AF0FFB">
        <w:rPr>
          <w:color w:val="000000" w:themeColor="text1"/>
        </w:rPr>
        <w:t>Evidence‑supported directions (clinical &amp; preclinical)</w:t>
      </w:r>
    </w:p>
    <w:p w14:paraId="6D14D100" w14:textId="77777777" w:rsidR="002E6A70" w:rsidRPr="00AF0FFB" w:rsidRDefault="00000000">
      <w:pPr>
        <w:spacing w:after="120"/>
        <w:rPr>
          <w:b/>
          <w:bCs/>
        </w:rPr>
      </w:pPr>
      <w:r w:rsidRPr="00AF0FFB">
        <w:rPr>
          <w:b/>
          <w:bCs/>
        </w:rPr>
        <w:t>1) Damp obstruction of the middle with nausea, vomiting and loose stool</w:t>
      </w:r>
    </w:p>
    <w:p w14:paraId="52A2D081" w14:textId="77777777" w:rsidR="002E6A70" w:rsidRDefault="00000000">
      <w:pPr>
        <w:spacing w:after="120"/>
      </w:pPr>
      <w:r>
        <w:lastRenderedPageBreak/>
        <w:t>Used for epigastric distention, poor appetite, nausea/vomiting and diarrhea with a greasy tongue coat. Often interchanged with Pogostemon cablin in Huo Xiang‑based formulas in regions where A. rugosa predominates. Preclinical data support antiemetic, gastroprotective and antimicrobial actions. [1–4,6–8]</w:t>
      </w:r>
    </w:p>
    <w:p w14:paraId="4B25C718" w14:textId="77777777" w:rsidR="002E6A70" w:rsidRPr="00AF0FFB" w:rsidRDefault="00000000">
      <w:pPr>
        <w:spacing w:after="120"/>
        <w:rPr>
          <w:b/>
          <w:bCs/>
        </w:rPr>
      </w:pPr>
      <w:r w:rsidRPr="00AF0FFB">
        <w:rPr>
          <w:b/>
          <w:bCs/>
        </w:rPr>
        <w:t>2) External contraction with internal Damp (Wind‑Cold + Damp)</w:t>
      </w:r>
    </w:p>
    <w:p w14:paraId="0353C295" w14:textId="77777777" w:rsidR="002E6A70" w:rsidRDefault="00000000">
      <w:pPr>
        <w:spacing w:after="120"/>
      </w:pPr>
      <w:r>
        <w:t>For chills, fever, head heaviness and chest oppression with nausea; the aromatic exterior‑releasing plus Damp‑transforming profile addresses this mixed pattern. Combine with Zi Su Ye or Qiang Huo as indicated. [1–3]</w:t>
      </w:r>
    </w:p>
    <w:p w14:paraId="3F5C7FF5" w14:textId="77777777" w:rsidR="002E6A70" w:rsidRPr="00AF0FFB" w:rsidRDefault="00000000">
      <w:pPr>
        <w:spacing w:after="120"/>
        <w:rPr>
          <w:b/>
          <w:bCs/>
        </w:rPr>
      </w:pPr>
      <w:r w:rsidRPr="00AF0FFB">
        <w:rPr>
          <w:b/>
          <w:bCs/>
        </w:rPr>
        <w:t>3) Summerheat‑Damp (</w:t>
      </w:r>
      <w:r w:rsidRPr="00AF0FFB">
        <w:rPr>
          <w:b/>
          <w:bCs/>
        </w:rPr>
        <w:t>暑湿</w:t>
      </w:r>
      <w:r w:rsidRPr="00AF0FFB">
        <w:rPr>
          <w:b/>
          <w:bCs/>
        </w:rPr>
        <w:t>) and traveler's digestive upset</w:t>
      </w:r>
    </w:p>
    <w:p w14:paraId="5AA5ABD4" w14:textId="77777777" w:rsidR="002E6A70" w:rsidRDefault="00000000">
      <w:pPr>
        <w:spacing w:after="120"/>
      </w:pPr>
      <w:r>
        <w:t>Addresses nausea, diarrhea and fatigue after heat‑humidity exposure. Modern clinical usage is largely formula‑based (e.g., Huo Xiang Zheng Qi preparations). [1–4]</w:t>
      </w:r>
    </w:p>
    <w:p w14:paraId="20BDBBFC" w14:textId="77777777" w:rsidR="002E6A70" w:rsidRPr="00AF0FFB" w:rsidRDefault="00000000">
      <w:pPr>
        <w:spacing w:after="120"/>
        <w:rPr>
          <w:b/>
          <w:bCs/>
        </w:rPr>
      </w:pPr>
      <w:r w:rsidRPr="00AF0FFB">
        <w:rPr>
          <w:b/>
          <w:bCs/>
        </w:rPr>
        <w:t>4) Antimicrobial/antiviral and anti‑inflammatory signals</w:t>
      </w:r>
    </w:p>
    <w:p w14:paraId="29E16F77" w14:textId="77777777" w:rsidR="002E6A70" w:rsidRDefault="00000000">
      <w:pPr>
        <w:spacing w:after="120"/>
      </w:pPr>
      <w:r>
        <w:t>Essential oil and extracts inhibit a range of bacteria and some respiratory/enteric viruses in vitro, and down‑regulate inflammatory mediators in models; clinical translation is preliminary. [5–8]</w:t>
      </w:r>
    </w:p>
    <w:p w14:paraId="487DF58E" w14:textId="77777777" w:rsidR="002E6A70" w:rsidRPr="00AF0FFB" w:rsidRDefault="00000000">
      <w:pPr>
        <w:pStyle w:val="Heading1"/>
        <w:rPr>
          <w:color w:val="000000" w:themeColor="text1"/>
        </w:rPr>
      </w:pPr>
      <w:r w:rsidRPr="00AF0FFB">
        <w:rPr>
          <w:color w:val="000000" w:themeColor="text1"/>
        </w:rPr>
        <w:t>How to use (TCM + practical)</w:t>
      </w:r>
    </w:p>
    <w:p w14:paraId="234233CF" w14:textId="77777777" w:rsidR="002E6A70" w:rsidRDefault="00000000">
      <w:pPr>
        <w:pStyle w:val="ListBullet"/>
        <w:spacing w:after="80"/>
      </w:pPr>
      <w:r>
        <w:t>Pattern first: Damp obstruction, summerheat‑Damp, or exterior Wind‑Cold with internal Damp. Look for greasy coat, oppression and nausea. [1–3]</w:t>
      </w:r>
    </w:p>
    <w:p w14:paraId="3DCA6344" w14:textId="77777777" w:rsidR="002E6A70" w:rsidRDefault="00000000">
      <w:pPr>
        <w:pStyle w:val="ListBullet"/>
        <w:spacing w:after="80"/>
      </w:pPr>
      <w:r>
        <w:t>Forms: decoction or granules; add late in decoction (last 5–10 minutes) to retain aromatics; tinctures and ready‑made Huo Xiang Zheng Qi preparations are also used. [1–4]</w:t>
      </w:r>
    </w:p>
    <w:p w14:paraId="184F0418" w14:textId="77777777" w:rsidR="002E6A70" w:rsidRDefault="00000000">
      <w:pPr>
        <w:pStyle w:val="ListBullet"/>
        <w:spacing w:after="80"/>
      </w:pPr>
      <w:r>
        <w:t>Material notes: choose leafy, aromatic lots with fresh fragrance; store airtight away from heat/light to preserve volatile oils. [1–3,5–7]</w:t>
      </w:r>
    </w:p>
    <w:p w14:paraId="2A5CBEC6" w14:textId="77777777" w:rsidR="002E6A70" w:rsidRDefault="00000000">
      <w:pPr>
        <w:pStyle w:val="ListBullet"/>
        <w:spacing w:after="80"/>
      </w:pPr>
      <w:r>
        <w:t>Formula anchors: Huo Xiang Zheng Qi San (regional versions using A. rugosa), with Pei Lan for summerheat‑Damp, with Bai Dou Kou to strongly transform Damp and stop vomiting. [1–4]</w:t>
      </w:r>
    </w:p>
    <w:p w14:paraId="430F724B" w14:textId="77777777" w:rsidR="002E6A70" w:rsidRPr="00AF0FFB" w:rsidRDefault="00000000">
      <w:pPr>
        <w:pStyle w:val="Heading1"/>
        <w:rPr>
          <w:color w:val="000000" w:themeColor="text1"/>
        </w:rPr>
      </w:pPr>
      <w:r w:rsidRPr="00AF0FFB">
        <w:rPr>
          <w:color w:val="000000" w:themeColor="text1"/>
        </w:rPr>
        <w:t>Synergy &amp; “Steady‑State Quartet” counter‑balance (examples)</w:t>
      </w:r>
    </w:p>
    <w:p w14:paraId="42A08236" w14:textId="77777777" w:rsidR="002E6A70" w:rsidRDefault="00000000">
      <w:pPr>
        <w:pStyle w:val="ListBullet"/>
        <w:spacing w:after="80"/>
      </w:pPr>
      <w:r>
        <w:t>Acute nausea/diarrhea from Damp: Tu Huo Xiang + Ban Xia + Chen Pi + Fu Ling to harmonize Stomach, descend counterflow and drain Damp. [1–4]</w:t>
      </w:r>
    </w:p>
    <w:p w14:paraId="22B018BA" w14:textId="77777777" w:rsidR="002E6A70" w:rsidRDefault="00000000">
      <w:pPr>
        <w:pStyle w:val="ListBullet"/>
        <w:spacing w:after="80"/>
      </w:pPr>
      <w:r>
        <w:t>Summerheat‑Damp fatigue and heaviness: Tu Huo Xiang + Pei Lan + He Ye + Bian Dou with hydration and light diet. [1–4]</w:t>
      </w:r>
    </w:p>
    <w:p w14:paraId="58B15982" w14:textId="77777777" w:rsidR="002E6A70" w:rsidRDefault="00000000">
      <w:pPr>
        <w:pStyle w:val="ListBullet"/>
        <w:spacing w:after="80"/>
      </w:pPr>
      <w:r>
        <w:t>Wind‑Cold with internal Damp: Tu Huo Xiang + Zi Su Ye + Qiang Huo + Hou Po to release exterior and transform Damp. [1–3]</w:t>
      </w:r>
    </w:p>
    <w:p w14:paraId="26C3A413" w14:textId="77777777" w:rsidR="002E6A70" w:rsidRDefault="00000000">
      <w:pPr>
        <w:pStyle w:val="ListBullet"/>
        <w:spacing w:after="80"/>
      </w:pPr>
      <w:r>
        <w:t>Post‑infectious dyspepsia‑like pattern: Tu Huo Xiang + Sha Ren + Bai Dou Kou + Shen Qu to move Qi and aid digestion. [1–3]</w:t>
      </w:r>
    </w:p>
    <w:p w14:paraId="3A7A2A32" w14:textId="77777777" w:rsidR="002E6A70" w:rsidRPr="00AF0FFB" w:rsidRDefault="00000000">
      <w:pPr>
        <w:pStyle w:val="Heading1"/>
        <w:rPr>
          <w:color w:val="000000" w:themeColor="text1"/>
        </w:rPr>
      </w:pPr>
      <w:r w:rsidRPr="00AF0FFB">
        <w:rPr>
          <w:color w:val="000000" w:themeColor="text1"/>
        </w:rPr>
        <w:lastRenderedPageBreak/>
        <w:t>Adult doses</w:t>
      </w:r>
    </w:p>
    <w:p w14:paraId="7BB189F7" w14:textId="77777777" w:rsidR="002E6A70" w:rsidRDefault="00000000">
      <w:pPr>
        <w:pStyle w:val="ListBullet"/>
        <w:spacing w:after="80"/>
      </w:pPr>
      <w:r>
        <w:t>Decoction or granules: 3–9 g per day typical; up to 12 g short‑term under professional supervision. Add late in decoction to protect volatile oils. [1–3]</w:t>
      </w:r>
    </w:p>
    <w:p w14:paraId="6506C5B5" w14:textId="77777777" w:rsidR="002E6A70" w:rsidRDefault="00000000">
      <w:pPr>
        <w:pStyle w:val="ListBullet"/>
        <w:spacing w:after="80"/>
      </w:pPr>
      <w:r>
        <w:t>Ready‑made Huo Xiang Zheng Qi preparations: follow product labeling (often equivalent to 6–9 g raw herb/day across the formula). [1–4]</w:t>
      </w:r>
    </w:p>
    <w:p w14:paraId="4FDBB00E" w14:textId="77777777" w:rsidR="002E6A70" w:rsidRDefault="00000000">
      <w:pPr>
        <w:pStyle w:val="ListBullet"/>
        <w:spacing w:after="80"/>
      </w:pPr>
      <w:r>
        <w:t>Tincture (Western practice): 1:5 in 45–60 percent ethanol, 2–4 mL up to three times daily for acute GI support; adjust to product strength. [5–7]</w:t>
      </w:r>
    </w:p>
    <w:p w14:paraId="39FDFA3A" w14:textId="77777777" w:rsidR="002E6A70" w:rsidRDefault="00000000">
      <w:pPr>
        <w:pStyle w:val="ListBullet"/>
        <w:spacing w:after="80"/>
      </w:pPr>
      <w:r>
        <w:t>Essential oil: external/aromatic use only (diffusion, diluted topical); avoid internal use due to estragole/methyleugenol concerns at concentrated doses. Patch test to avoid dermatitis. [5–8]</w:t>
      </w:r>
    </w:p>
    <w:p w14:paraId="5F75678C" w14:textId="77777777" w:rsidR="002E6A70" w:rsidRPr="00AF0FFB" w:rsidRDefault="00000000">
      <w:pPr>
        <w:pStyle w:val="Heading1"/>
        <w:rPr>
          <w:color w:val="000000" w:themeColor="text1"/>
        </w:rPr>
      </w:pPr>
      <w:r w:rsidRPr="00AF0FFB">
        <w:rPr>
          <w:color w:val="000000" w:themeColor="text1"/>
        </w:rPr>
        <w:t>Safety, interactions, quality</w:t>
      </w:r>
    </w:p>
    <w:p w14:paraId="361255F4" w14:textId="77777777" w:rsidR="002E6A70" w:rsidRDefault="00000000">
      <w:pPr>
        <w:pStyle w:val="ListBullet"/>
        <w:spacing w:after="80"/>
      </w:pPr>
      <w:r>
        <w:t>Aromatic and slightly warm; use cautiously in Yin deficiency with Heat or dry mouth/thirst without Damp signs. [1–3]</w:t>
      </w:r>
    </w:p>
    <w:p w14:paraId="78784149" w14:textId="77777777" w:rsidR="002E6A70" w:rsidRDefault="00000000">
      <w:pPr>
        <w:pStyle w:val="ListBullet"/>
        <w:spacing w:after="80"/>
      </w:pPr>
      <w:r>
        <w:t>GI sensitivity: large doses may cause dry mouth or mild heartburn in Heat patterns; adjust dose. [1–3]</w:t>
      </w:r>
    </w:p>
    <w:p w14:paraId="386D90F2" w14:textId="1DC77E8E" w:rsidR="002E6A70" w:rsidRDefault="00000000">
      <w:pPr>
        <w:pStyle w:val="ListBullet"/>
        <w:spacing w:after="80"/>
      </w:pPr>
      <w:r>
        <w:t>Estragole/methyleugenol: essential‑oil constituents with genotoxicity signals in high‑dose animal models avoid chronic high‑dose essential oil and prefer traditional decoction/granule use. [5–8]</w:t>
      </w:r>
    </w:p>
    <w:p w14:paraId="5E5E5E51" w14:textId="77777777" w:rsidR="002E6A70" w:rsidRDefault="00000000">
      <w:pPr>
        <w:pStyle w:val="ListBullet"/>
        <w:spacing w:after="80"/>
      </w:pPr>
      <w:r>
        <w:t>Drug interactions: none well documented at decoction doses; theoretical CYP/P‑gp effects are low at traditional use levels. [5–8]</w:t>
      </w:r>
    </w:p>
    <w:p w14:paraId="6555316D" w14:textId="77777777" w:rsidR="002E6A70" w:rsidRDefault="00000000">
      <w:pPr>
        <w:pStyle w:val="ListBullet"/>
        <w:spacing w:after="80"/>
      </w:pPr>
      <w:r>
        <w:t>Pregnancy/lactation: avoid high doses and essential oil internally; use only with professional guidance. [1–3]</w:t>
      </w:r>
    </w:p>
    <w:p w14:paraId="105600F0" w14:textId="77777777" w:rsidR="002E6A70" w:rsidRDefault="00000000">
      <w:pPr>
        <w:pStyle w:val="ListBullet"/>
        <w:spacing w:after="80"/>
      </w:pPr>
      <w:r>
        <w:t>Quality/authentication: verify A. rugosa vs Pogostemon cablin; aroma should be fresh, not musty; avoid sulfur‑fumigated material. [3,5–7]</w:t>
      </w:r>
    </w:p>
    <w:p w14:paraId="4E6E9E99" w14:textId="77777777" w:rsidR="002E6A70" w:rsidRDefault="00000000">
      <w:pPr>
        <w:pStyle w:val="Heading1"/>
      </w:pPr>
      <w:r>
        <w:t>Quick reference (clinical talking points)</w:t>
      </w:r>
    </w:p>
    <w:p w14:paraId="04C74241" w14:textId="77777777" w:rsidR="002E6A70" w:rsidRDefault="00000000">
      <w:pPr>
        <w:pStyle w:val="ListBullet"/>
        <w:spacing w:after="80"/>
      </w:pPr>
      <w:r>
        <w:t>Fragrant, slightly warm herb that aromatically transforms Damp, releases exterior with Damp, and harmonizes the middle; channels SP/ST/LU. [1–3]</w:t>
      </w:r>
    </w:p>
    <w:p w14:paraId="6B4575F4" w14:textId="77777777" w:rsidR="002E6A70" w:rsidRDefault="00000000">
      <w:pPr>
        <w:pStyle w:val="ListBullet"/>
        <w:spacing w:after="80"/>
      </w:pPr>
      <w:r>
        <w:t>Regional substitute for Pogostemon cablin in Huo Xiang‑based formulas; add late in decoction to preserve efficacy. [1–4]</w:t>
      </w:r>
    </w:p>
    <w:p w14:paraId="62CAF046" w14:textId="77777777" w:rsidR="002E6A70" w:rsidRDefault="00000000">
      <w:pPr>
        <w:pStyle w:val="ListBullet"/>
        <w:spacing w:after="80"/>
      </w:pPr>
      <w:r>
        <w:t>Key actives include estragole and rosmarinic‑acid‑type phenolics; clinical evidence is mostly formula‑based with supportive preclinical data. [5–8]</w:t>
      </w:r>
    </w:p>
    <w:p w14:paraId="1E709728" w14:textId="77777777" w:rsidR="002E6A70" w:rsidRDefault="00000000">
      <w:pPr>
        <w:pStyle w:val="Heading1"/>
      </w:pPr>
      <w:r>
        <w:t>References</w:t>
      </w:r>
    </w:p>
    <w:p w14:paraId="60639852" w14:textId="2905A8A0" w:rsidR="002E6A70" w:rsidRDefault="00000000">
      <w:pPr>
        <w:pStyle w:val="ListNumber"/>
        <w:spacing w:after="40"/>
      </w:pPr>
      <w:r>
        <w:t>Bensky D, et al. Chinese Herbal Medicine: Materia Medica (3rd ed.). Huo Xiang and Tu Huo Xiang entries actions/indications, dosage, combinations.</w:t>
      </w:r>
    </w:p>
    <w:p w14:paraId="67D763DE" w14:textId="25D9ACE2" w:rsidR="002E6A70" w:rsidRDefault="00000000">
      <w:pPr>
        <w:pStyle w:val="ListNumber"/>
        <w:spacing w:after="40"/>
      </w:pPr>
      <w:r>
        <w:t>AmericanDragon. Huo Xiang / Tu Huo Xiang properties (sl. warm; acrid; aromatic), channels (SP/ST/LU), dosage 3–9 g. Accessed 2025.</w:t>
      </w:r>
    </w:p>
    <w:p w14:paraId="4D1F32EF" w14:textId="27FB6FF6" w:rsidR="002E6A70" w:rsidRDefault="00000000">
      <w:pPr>
        <w:pStyle w:val="ListNumber"/>
        <w:spacing w:after="40"/>
      </w:pPr>
      <w:r>
        <w:lastRenderedPageBreak/>
        <w:t>YinYangHouse. Huo Xiang herb database category Aromatic Transform Dampness; cautions and usage; Huo Xiang Zheng Qi formula notes. Accessed 2025.</w:t>
      </w:r>
    </w:p>
    <w:p w14:paraId="40F1DB42" w14:textId="30052EF5" w:rsidR="002E6A70" w:rsidRDefault="00000000">
      <w:pPr>
        <w:pStyle w:val="ListNumber"/>
        <w:spacing w:after="40"/>
      </w:pPr>
      <w:r>
        <w:t xml:space="preserve">Asante Academy. Huo Xiang (Aromatic transform Dampness) pattern uses and key </w:t>
      </w:r>
      <w:proofErr w:type="gramStart"/>
      <w:r>
        <w:t>combinations;</w:t>
      </w:r>
      <w:proofErr w:type="gramEnd"/>
      <w:r>
        <w:t xml:space="preserve"> regional substitution notes. 2021.</w:t>
      </w:r>
    </w:p>
    <w:p w14:paraId="1975440D" w14:textId="77777777" w:rsidR="002E6A70" w:rsidRDefault="00000000">
      <w:pPr>
        <w:pStyle w:val="ListNumber"/>
        <w:spacing w:after="40"/>
      </w:pPr>
      <w:r>
        <w:t>Essential‑oil chemistry reviews of Agastache rugosa: estragole/methyleugenol profiles, antimicrobial and anti‑inflammatory activities. 2010–2024.</w:t>
      </w:r>
    </w:p>
    <w:p w14:paraId="42C06EBB" w14:textId="77777777" w:rsidR="002E6A70" w:rsidRDefault="00000000">
      <w:pPr>
        <w:pStyle w:val="ListNumber"/>
        <w:spacing w:after="40"/>
      </w:pPr>
      <w:r>
        <w:t>Preclinical studies on gastroprotection and antiemesis of Agastache extracts; motility and mucosal effects. 2012–2023.</w:t>
      </w:r>
    </w:p>
    <w:p w14:paraId="6B64C4C3" w14:textId="77777777" w:rsidR="002E6A70" w:rsidRDefault="00000000">
      <w:pPr>
        <w:pStyle w:val="ListNumber"/>
        <w:spacing w:after="40"/>
      </w:pPr>
      <w:r>
        <w:t>Quality/authentication of Herba Agastachis; volatile‑oil retention and storage to preserve aroma; sulfur‑fumigation cautions. 2015–2023.</w:t>
      </w:r>
    </w:p>
    <w:p w14:paraId="13DD5BF6" w14:textId="77777777" w:rsidR="002E6A70" w:rsidRDefault="00000000">
      <w:pPr>
        <w:pStyle w:val="ListNumber"/>
        <w:spacing w:after="40"/>
      </w:pPr>
      <w:r>
        <w:t>Safety assessments on estragole and methyleugenol exposure from essential oils; guidance favoring traditional preparations over concentrated oil. 2011–2021.</w:t>
      </w:r>
    </w:p>
    <w:sectPr w:rsidR="002E6A7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5926BD6"/>
    <w:multiLevelType w:val="hybridMultilevel"/>
    <w:tmpl w:val="97ECE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1730151">
    <w:abstractNumId w:val="8"/>
  </w:num>
  <w:num w:numId="2" w16cid:durableId="1605722027">
    <w:abstractNumId w:val="6"/>
  </w:num>
  <w:num w:numId="3" w16cid:durableId="1893954897">
    <w:abstractNumId w:val="5"/>
  </w:num>
  <w:num w:numId="4" w16cid:durableId="352651541">
    <w:abstractNumId w:val="4"/>
  </w:num>
  <w:num w:numId="5" w16cid:durableId="1567691760">
    <w:abstractNumId w:val="7"/>
  </w:num>
  <w:num w:numId="6" w16cid:durableId="1073552949">
    <w:abstractNumId w:val="3"/>
  </w:num>
  <w:num w:numId="7" w16cid:durableId="265576959">
    <w:abstractNumId w:val="2"/>
  </w:num>
  <w:num w:numId="8" w16cid:durableId="837576832">
    <w:abstractNumId w:val="1"/>
  </w:num>
  <w:num w:numId="9" w16cid:durableId="1980263478">
    <w:abstractNumId w:val="0"/>
  </w:num>
  <w:num w:numId="10" w16cid:durableId="839185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E6A70"/>
    <w:rsid w:val="00326F90"/>
    <w:rsid w:val="006E2DF3"/>
    <w:rsid w:val="00AA1D8D"/>
    <w:rsid w:val="00AF0FFB"/>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E641C0"/>
  <w14:defaultImageDpi w14:val="300"/>
  <w15:docId w15:val="{03DC6C12-D032-9149-AAD9-2C0A88A3D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1085</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Jing Liu</cp:lastModifiedBy>
  <cp:revision>2</cp:revision>
  <dcterms:created xsi:type="dcterms:W3CDTF">2025-09-05T05:22:00Z</dcterms:created>
  <dcterms:modified xsi:type="dcterms:W3CDTF">2025-09-05T05:22:00Z</dcterms:modified>
  <cp:category/>
</cp:coreProperties>
</file>